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"/>
        </w:tabs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pict>
          <v:group id="_x0000_s2190" o:spid="_x0000_s2190" o:spt="203" style="position:absolute;left:0pt;margin-left:99.65pt;margin-top:-79pt;height:569pt;width:645.65pt;z-index:251662336;mso-width-relative:page;mso-height-relative:page;" coordorigin="737,2813" coordsize="10750,12926">
            <o:lock v:ext="edit"/>
            <v:rect id="_x0000_s2191" o:spid="_x0000_s2191" o:spt="1" style="position:absolute;left:6864;top:12441;height:469;width:201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回信回访（衔接点）</w:t>
                    </w:r>
                  </w:p>
                </w:txbxContent>
              </v:textbox>
            </v:rect>
            <v:rect id="_x0000_s2192" o:spid="_x0000_s2192" o:spt="1" style="position:absolute;left:6391;top:10700;height:451;width:2869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报请党组研究处理（衔接点）</w:t>
                    </w:r>
                  </w:p>
                  <w:p/>
                </w:txbxContent>
              </v:textbox>
            </v:rect>
            <v:rect id="_x0000_s2193" o:spid="_x0000_s2193" o:spt="1" style="position:absolute;left:6542;top:9913;height:537;width:2498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建议“四种形态”处理</w:t>
                    </w:r>
                  </w:p>
                  <w:p/>
                </w:txbxContent>
              </v:textbox>
            </v:rect>
            <v:rect id="_x0000_s2194" o:spid="_x0000_s2194" o:spt="1" style="position:absolute;left:7324;top:8856;height:774;width:1178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调查取证</w:t>
                    </w:r>
                  </w:p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（6个月）</w:t>
                    </w:r>
                  </w:p>
                </w:txbxContent>
              </v:textbox>
            </v:rect>
            <v:rect id="_x0000_s2195" o:spid="_x0000_s2195" o:spt="1" style="position:absolute;left:7234;top:7559;height:751;width:1268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立案</w:t>
                    </w:r>
                  </w:p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（衔接点）</w:t>
                    </w:r>
                  </w:p>
                </w:txbxContent>
              </v:textbox>
            </v:rect>
            <v:rect id="_x0000_s2196" o:spid="_x0000_s2196" o:spt="1" style="position:absolute;left:7005;top:6650;height:450;width:201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初步核查（2个月）</w:t>
                    </w:r>
                  </w:p>
                </w:txbxContent>
              </v:textbox>
            </v:rect>
            <v:rect id="_x0000_s2197" o:spid="_x0000_s2197" o:spt="1" style="position:absolute;left:6864;top:5685;height:427;width:215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线索登记（及时）</w:t>
                    </w:r>
                  </w:p>
                </w:txbxContent>
              </v:textbox>
            </v:rect>
            <v:rect id="_x0000_s2198" o:spid="_x0000_s2198" o:spt="1" style="position:absolute;left:5459;top:4785;height:555;width:1732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阅信（衔接点）</w:t>
                    </w:r>
                  </w:p>
                </w:txbxContent>
              </v:textbox>
            </v:rect>
            <v:rect id="_x0000_s2199" o:spid="_x0000_s2199" o:spt="1" style="position:absolute;left:8355;top:4785;height:555;width:2436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纪检人员接访（衔接点）</w:t>
                    </w:r>
                  </w:p>
                </w:txbxContent>
              </v:textbox>
            </v:rect>
            <v:rect id="_x0000_s2200" o:spid="_x0000_s2200" o:spt="1" style="position:absolute;left:8112;top:3885;height:485;width:2679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报请检察长审批（衔接点）</w:t>
                    </w:r>
                  </w:p>
                </w:txbxContent>
              </v:textbox>
            </v:rect>
            <v:rect id="_x0000_s2201" o:spid="_x0000_s2201" o:spt="1" style="position:absolute;left:7005;top:13396;height:1157;width:1717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接受不服申诉决定复议调查（2个月））</w:t>
                    </w:r>
                  </w:p>
                </w:txbxContent>
              </v:textbox>
            </v:rect>
            <v:rect id="_x0000_s2202" o:spid="_x0000_s2202" o:spt="1" style="position:absolute;left:737;top:5224;height:3945;width:1423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行使职权的岗位及人员：纪检监察岗位、纪检监察人员、兼职纪检员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投诉举报途径和方式：可向上级院纪检检察部门书面申诉</w:t>
                    </w:r>
                  </w:p>
                </w:txbxContent>
              </v:textbox>
            </v:rect>
            <v:rect id="_x0000_s2203" o:spid="_x0000_s2203" o:spt="1" style="position:absolute;left:8748;top:9075;height:754;width:136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复信告知</w:t>
                    </w:r>
                  </w:p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（衔接点）</w:t>
                    </w:r>
                  </w:p>
                </w:txbxContent>
              </v:textbox>
            </v:rect>
            <v:rect id="_x0000_s2204" o:spid="_x0000_s2204" o:spt="1" style="position:absolute;left:8748;top:7894;height:746;width:136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向上转</w:t>
                    </w:r>
                  </w:p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（衔接点）</w:t>
                    </w:r>
                  </w:p>
                </w:txbxContent>
              </v:textbox>
            </v:rect>
            <v:rect id="_x0000_s2205" o:spid="_x0000_s2205" o:spt="1" style="position:absolute;left:5574;top:9075;height:754;width:129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复信告知</w:t>
                    </w:r>
                  </w:p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（衔接点）</w:t>
                    </w:r>
                  </w:p>
                </w:txbxContent>
              </v:textbox>
            </v:rect>
            <v:rect id="_x0000_s2206" o:spid="_x0000_s2206" o:spt="1" style="position:absolute;left:5459;top:7559;height:751;width:140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平行转</w:t>
                    </w:r>
                  </w:p>
                  <w:p>
                    <w:pPr>
                      <w:spacing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（衔接点）</w:t>
                    </w:r>
                  </w:p>
                </w:txbxContent>
              </v:textbox>
            </v:rect>
            <v:rect id="_x0000_s2207" o:spid="_x0000_s2207" o:spt="1" style="position:absolute;left:7005;top:14902;height:837;width:1717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结案、归档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（衔接点）</w:t>
                    </w:r>
                  </w:p>
                </w:txbxContent>
              </v:textbox>
            </v:rect>
            <v:shape id="_x0000_s2208" o:spid="_x0000_s2208" o:spt="32" type="#_x0000_t32" style="position:absolute;left:7234;top:5023;height:0;width:1073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09" o:spid="_x0000_s2209" o:spt="32" type="#_x0000_t32" style="position:absolute;left:9645;top:4384;height:415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10" o:spid="_x0000_s2210" o:spt="32" type="#_x0000_t32" style="position:absolute;left:7786;top:5023;height:662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11" o:spid="_x0000_s2211" o:spt="32" type="#_x0000_t32" style="position:absolute;left:7786;top:6111;height:510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12" o:spid="_x0000_s2212" o:spt="32" type="#_x0000_t32" style="position:absolute;left:7786;top:7109;height:450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13" o:spid="_x0000_s2213" o:spt="32" type="#_x0000_t32" style="position:absolute;left:7786;top:8310;height:546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14" o:spid="_x0000_s2214" o:spt="32" type="#_x0000_t32" style="position:absolute;left:6128;top:6820;flip:x;height:739;width:877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15" o:spid="_x0000_s2215" o:spt="32" type="#_x0000_t32" style="position:absolute;left:9040;top:6820;height:1012;width:813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16" o:spid="_x0000_s2216" o:spt="32" type="#_x0000_t32" style="position:absolute;left:6128;top:8310;height:765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17" o:spid="_x0000_s2217" o:spt="32" type="#_x0000_t32" style="position:absolute;left:9260;top:8640;height:435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18" o:spid="_x0000_s2218" o:spt="32" type="#_x0000_t32" style="position:absolute;left:7786;top:9630;height:283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19" o:spid="_x0000_s2219" o:spt="32" type="#_x0000_t32" style="position:absolute;left:7779;top:10450;flip:x;height:250;width:4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20" o:spid="_x0000_s2220" o:spt="32" type="#_x0000_t32" style="position:absolute;left:7788;top:11151;height:352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21" o:spid="_x0000_s2221" o:spt="32" type="#_x0000_t32" style="position:absolute;left:7783;top:12910;height:486;width:2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22" o:spid="_x0000_s2222" o:spt="32" type="#_x0000_t32" style="position:absolute;left:7788;top:14553;height:349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23" o:spid="_x0000_s2223" o:spt="34" type="#_x0000_t34" style="position:absolute;left:9440;top:3898;flip:x;height:814;width:2610;rotation:17694720f;" o:connectortype="elbow" filled="f" coordsize="21600,21600" adj="21748,148865,-92292">
              <v:path arrowok="t"/>
              <v:fill on="f" focussize="0,0"/>
              <v:stroke endarrow="block"/>
              <v:imagedata o:title=""/>
              <o:lock v:ext="edit"/>
            </v:shape>
            <v:shape id="_x0000_s2224" o:spid="_x0000_s2224" o:spt="202" type="#_x0000_t202" style="position:absolute;left:10346;top:5685;height:4765;width:1141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依据：《江苏省检察机关查办监察案件工作规定（试行）》苏检发纪监字〔2016〕11号</w:t>
                    </w:r>
                  </w:p>
                  <w:p/>
                </w:txbxContent>
              </v:textbox>
            </v:shape>
            <v:shape id="_x0000_s2225" o:spid="_x0000_s2225" o:spt="34" type="#_x0000_t34" style="position:absolute;left:5810;top:11687;flip:y;height:854;width:1514;rotation:11796480f;" o:connectortype="elbow" filled="f" coordsize="21600,21600" adj="20587,295596,-104490">
              <v:path arrowok="t"/>
              <v:fill on="f" focussize="0,0"/>
              <v:stroke weight="2pt" dashstyle="1 1" endarrow="block"/>
              <v:imagedata o:title=""/>
              <o:lock v:ext="edit"/>
            </v:shape>
            <v:shape id="_x0000_s2226" o:spid="_x0000_s2226" o:spt="202" type="#_x0000_t202" style="position:absolute;left:8580;top:2813;height:438;width:175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信访件受理</w:t>
                    </w:r>
                  </w:p>
                </w:txbxContent>
              </v:textbox>
            </v:shape>
            <v:shape id="_x0000_s2227" o:spid="_x0000_s2227" o:spt="32" type="#_x0000_t32" style="position:absolute;left:9645;top:3251;height:634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28" o:spid="_x0000_s2228" o:spt="202" type="#_x0000_t202" style="position:absolute;left:3181;top:3251;height:871;width:135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监督主体</w:t>
                    </w:r>
                  </w:p>
                  <w:p>
                    <w:r>
                      <w:rPr>
                        <w:rFonts w:hint="eastAsia"/>
                      </w:rPr>
                      <w:t>责任落实</w:t>
                    </w:r>
                  </w:p>
                </w:txbxContent>
              </v:textbox>
            </v:shape>
            <v:shape id="_x0000_s2229" o:spid="_x0000_s2229" o:spt="32" type="#_x0000_t32" style="position:absolute;left:3767;top:4145;height:653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30" o:spid="_x0000_s2230" o:spt="202" type="#_x0000_t202" style="position:absolute;left:2260;top:4847;height:1390;width:78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列席党组会</w:t>
                    </w:r>
                  </w:p>
                </w:txbxContent>
              </v:textbox>
            </v:shape>
            <v:shape id="_x0000_s2231" o:spid="_x0000_s2231" o:spt="202" type="#_x0000_t202" style="position:absolute;left:3315;top:4798;height:1390;width:904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列席办公会</w:t>
                    </w:r>
                  </w:p>
                </w:txbxContent>
              </v:textbox>
            </v:shape>
            <v:shape id="_x0000_s2232" o:spid="_x0000_s2232" o:spt="202" type="#_x0000_t202" style="position:absolute;left:4538;top:4847;height:1390;width:82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列席检委会</w:t>
                    </w:r>
                  </w:p>
                </w:txbxContent>
              </v:textbox>
            </v:shape>
            <v:shape id="_x0000_s2233" o:spid="_x0000_s2233" o:spt="202" type="#_x0000_t202" style="position:absolute;left:2764;top:6956;height:524;width:2093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检查、监督、考核</w:t>
                    </w:r>
                  </w:p>
                </w:txbxContent>
              </v:textbox>
            </v:shape>
            <v:shape id="_x0000_s2234" o:spid="_x0000_s2234" o:spt="202" type="#_x0000_t202" style="position:absolute;left:2591;top:12022;height:639;width:2211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检务督察</w:t>
                    </w:r>
                  </w:p>
                </w:txbxContent>
              </v:textbox>
            </v:shape>
            <v:shape id="_x0000_s2235" o:spid="_x0000_s2235" o:spt="202" type="#_x0000_t202" style="position:absolute;left:2160;top:9663;height:787;width:88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决策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督察</w:t>
                    </w:r>
                  </w:p>
                </w:txbxContent>
              </v:textbox>
            </v:shape>
            <v:shape id="_x0000_s2236" o:spid="_x0000_s2236" o:spt="202" type="#_x0000_t202" style="position:absolute;left:3264;top:9630;height:820;width:95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检风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督察</w:t>
                    </w:r>
                  </w:p>
                </w:txbxContent>
              </v:textbox>
            </v:shape>
            <v:shape id="_x0000_s2237" o:spid="_x0000_s2237" o:spt="202" type="#_x0000_t202" style="position:absolute;left:4420;top:9630;height:820;width:809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执法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督察</w:t>
                    </w:r>
                  </w:p>
                </w:txbxContent>
              </v:textbox>
            </v:shape>
            <v:shape id="_x0000_s2238" o:spid="_x0000_s2238" o:spt="32" type="#_x0000_t32" style="position:absolute;left:2591;top:4370;height:1;width:251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39" o:spid="_x0000_s2239" o:spt="32" type="#_x0000_t32" style="position:absolute;left:2591;top:4371;height:428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40" o:spid="_x0000_s2240" o:spt="32" type="#_x0000_t32" style="position:absolute;left:2591;top:6496;flip:y;height:17;width:251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41" o:spid="_x0000_s2241" o:spt="32" type="#_x0000_t32" style="position:absolute;left:5102;top:4419;height:428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42" o:spid="_x0000_s2242" o:spt="32" type="#_x0000_t32" style="position:absolute;left:2591;top:6237;height:276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43" o:spid="_x0000_s2243" o:spt="32" type="#_x0000_t32" style="position:absolute;left:5100;top:6254;height:259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44" o:spid="_x0000_s2244" o:spt="32" type="#_x0000_t32" style="position:absolute;left:3767;top:6237;height:719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45" o:spid="_x0000_s2245" o:spt="32" type="#_x0000_t32" style="position:absolute;left:3761;top:10450;flip:y;height:1572;width:7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46" o:spid="_x0000_s2246" o:spt="32" type="#_x0000_t32" style="position:absolute;left:2445;top:10450;height:852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47" o:spid="_x0000_s2247" o:spt="32" type="#_x0000_t32" style="position:absolute;left:2445;top:11302;height:0;width:2696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48" o:spid="_x0000_s2248" o:spt="32" type="#_x0000_t32" style="position:absolute;left:5141;top:10450;flip:y;height:852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49" o:spid="_x0000_s2249" o:spt="32" type="#_x0000_t32" style="position:absolute;left:2445;top:9075;flip:y;height:555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50" o:spid="_x0000_s2250" o:spt="32" type="#_x0000_t32" style="position:absolute;left:2445;top:9075;height:0;width:2654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51" o:spid="_x0000_s2251" o:spt="32" type="#_x0000_t32" style="position:absolute;left:5099;top:9075;height:555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52" o:spid="_x0000_s2252" o:spt="32" type="#_x0000_t32" style="position:absolute;left:3767;top:7480;height:935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53" o:spid="_x0000_s2253" o:spt="34" type="#_x0000_t34" style="position:absolute;left:3768;top:8415;height:1782;width:2774;" o:connectortype="elbow" filled="f" coordsize="21600,21600" adj="12747,-102000,-29340">
              <v:path arrowok="t"/>
              <v:fill on="f" focussize="0,0"/>
              <v:stroke endarrow="block"/>
              <v:imagedata o:title=""/>
              <o:lock v:ext="edit"/>
            </v:shape>
            <v:shape id="_x0000_s2254" o:spid="_x0000_s2254" o:spt="32" type="#_x0000_t32" style="position:absolute;left:3761;top:8310;height:734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255" o:spid="_x0000_s2255" o:spt="202" type="#_x0000_t202" style="position:absolute;left:6864;top:11503;height:488;width:201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执行党组处分决定</w:t>
                    </w:r>
                  </w:p>
                </w:txbxContent>
              </v:textbox>
            </v:shape>
            <v:shape id="_x0000_s2256" o:spid="_x0000_s2256" o:spt="202" type="#_x0000_t202" style="position:absolute;left:5229;top:12541;height:1086;width:14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依据：《监察条例》64、65、66条</w:t>
                    </w:r>
                  </w:p>
                </w:txbxContent>
              </v:textbox>
            </v:shape>
            <v:shape id="_x0000_s2257" o:spid="_x0000_s2257" o:spt="32" type="#_x0000_t32" style="position:absolute;left:7786;top:11991;flip:x;height:450;width:2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258" o:spid="_x0000_s2258" o:spt="34" type="#_x0000_t34" style="position:absolute;left:413;top:10263;flip:x;height:1084;width:3272;rotation:5898240f;" o:connectortype="elbow" filled="f" coordsize="21600,21600" adj="21302,182703,-9948">
              <v:path arrowok="t"/>
              <v:fill on="f" focussize="0,0"/>
              <v:stroke endarrow="block"/>
              <v:imagedata o:title=""/>
              <o:lock v:ext="edit"/>
            </v:shape>
            <v:shape id="_x0000_s2259" o:spid="_x0000_s2259" o:spt="34" type="#_x0000_t34" style="position:absolute;left:1507;top:3000;flip:y;height:650;width:7073;" o:connectortype="elbow" filled="f" coordsize="21600,21600" adj="-46,121292,-4602">
              <v:path arrowok="t"/>
              <v:fill on="f" focussize="0,0"/>
              <v:stroke endarrow="block"/>
              <v:imagedata o:title=""/>
              <o:lock v:ext="edit"/>
            </v:shape>
            <v:shape id="_x0000_s2260" o:spid="_x0000_s2260" o:spt="34" type="#_x0000_t34" style="position:absolute;left:1507;top:3650;flip:y;height:1574;width:1674;" o:connectortype="elbow" filled="f" coordsize="21600,21600" adj="-1,71689,-19445">
              <v:path arrowok="t"/>
              <v:fill on="f" focussize="0,0"/>
              <v:stroke endarrow="block"/>
              <v:imagedata o:title=""/>
              <o:lock v:ext="edit"/>
            </v:shape>
          </v:group>
        </w:pict>
      </w:r>
    </w:p>
    <w:p>
      <w:pPr>
        <w:tabs>
          <w:tab w:val="left" w:pos="40"/>
        </w:tabs>
        <w:jc w:val="left"/>
        <w:rPr>
          <w:rFonts w:hint="eastAsia" w:ascii="黑体" w:hAnsi="黑体" w:eastAsia="黑体"/>
          <w:sz w:val="36"/>
          <w:szCs w:val="36"/>
        </w:rPr>
      </w:pPr>
    </w:p>
    <w:p>
      <w:pPr>
        <w:tabs>
          <w:tab w:val="left" w:pos="40"/>
        </w:tabs>
        <w:jc w:val="left"/>
        <w:rPr>
          <w:rFonts w:hint="eastAsia" w:ascii="黑体" w:hAnsi="黑体" w:eastAsia="黑体"/>
          <w:sz w:val="36"/>
          <w:szCs w:val="36"/>
        </w:rPr>
      </w:pPr>
    </w:p>
    <w:p>
      <w:pPr>
        <w:tabs>
          <w:tab w:val="left" w:pos="40"/>
        </w:tabs>
        <w:jc w:val="left"/>
        <w:rPr>
          <w:rFonts w:hint="eastAsia" w:ascii="黑体" w:hAnsi="黑体" w:eastAsia="黑体"/>
          <w:sz w:val="36"/>
          <w:szCs w:val="36"/>
        </w:rPr>
      </w:pPr>
    </w:p>
    <w:p>
      <w:pPr>
        <w:tabs>
          <w:tab w:val="left" w:pos="40"/>
        </w:tabs>
        <w:jc w:val="left"/>
        <w:rPr>
          <w:rFonts w:hint="eastAsia" w:ascii="黑体" w:hAnsi="黑体" w:eastAsia="黑体"/>
          <w:sz w:val="36"/>
          <w:szCs w:val="36"/>
        </w:rPr>
      </w:pPr>
    </w:p>
    <w:p>
      <w:pPr>
        <w:tabs>
          <w:tab w:val="left" w:pos="40"/>
        </w:tabs>
        <w:jc w:val="left"/>
        <w:rPr>
          <w:rFonts w:hint="eastAsia" w:ascii="黑体" w:hAnsi="黑体" w:eastAsia="黑体"/>
          <w:sz w:val="36"/>
          <w:szCs w:val="36"/>
        </w:rPr>
      </w:pPr>
    </w:p>
    <w:p>
      <w:pPr>
        <w:tabs>
          <w:tab w:val="left" w:pos="40"/>
        </w:tabs>
        <w:jc w:val="left"/>
        <w:rPr>
          <w:rFonts w:hint="eastAsia" w:ascii="黑体" w:hAnsi="黑体" w:eastAsia="黑体"/>
          <w:sz w:val="36"/>
          <w:szCs w:val="36"/>
        </w:rPr>
      </w:pPr>
    </w:p>
    <w:p>
      <w:pPr>
        <w:tabs>
          <w:tab w:val="left" w:pos="40"/>
        </w:tabs>
        <w:jc w:val="left"/>
        <w:rPr>
          <w:rFonts w:hint="eastAsia" w:ascii="黑体" w:hAnsi="黑体" w:eastAsia="黑体"/>
          <w:sz w:val="36"/>
          <w:szCs w:val="36"/>
        </w:rPr>
      </w:pPr>
    </w:p>
    <w:p>
      <w:pPr>
        <w:tabs>
          <w:tab w:val="left" w:pos="40"/>
        </w:tabs>
        <w:jc w:val="left"/>
        <w:rPr>
          <w:rFonts w:hint="eastAsia" w:ascii="黑体" w:hAnsi="黑体" w:eastAsia="黑体"/>
          <w:sz w:val="36"/>
          <w:szCs w:val="36"/>
        </w:rPr>
      </w:pPr>
    </w:p>
    <w:p>
      <w:pPr>
        <w:tabs>
          <w:tab w:val="left" w:pos="40"/>
        </w:tabs>
        <w:jc w:val="left"/>
        <w:rPr>
          <w:rFonts w:hint="eastAsia" w:ascii="黑体" w:hAnsi="黑体" w:eastAsia="黑体"/>
          <w:sz w:val="36"/>
          <w:szCs w:val="36"/>
        </w:rPr>
      </w:pPr>
    </w:p>
    <w:p>
      <w:pPr>
        <w:tabs>
          <w:tab w:val="left" w:pos="40"/>
        </w:tabs>
        <w:jc w:val="left"/>
        <w:rPr>
          <w:rFonts w:hint="eastAsia" w:ascii="黑体" w:hAnsi="黑体" w:eastAsia="黑体"/>
          <w:sz w:val="36"/>
          <w:szCs w:val="36"/>
        </w:rPr>
      </w:pPr>
    </w:p>
    <w:p>
      <w:pPr>
        <w:tabs>
          <w:tab w:val="left" w:pos="40"/>
        </w:tabs>
        <w:jc w:val="left"/>
        <w:rPr>
          <w:rFonts w:hint="eastAsia" w:ascii="黑体" w:hAnsi="黑体" w:eastAsia="黑体"/>
          <w:sz w:val="36"/>
          <w:szCs w:val="36"/>
        </w:rPr>
      </w:pPr>
    </w:p>
    <w:p>
      <w:pPr>
        <w:tabs>
          <w:tab w:val="left" w:pos="40"/>
        </w:tabs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纪检监察信访案件的调查、处理流程图</w:t>
      </w:r>
      <w:r>
        <w:rPr>
          <w:rFonts w:ascii="黑体" w:hAnsi="黑体" w:eastAsia="黑体"/>
          <w:sz w:val="36"/>
          <w:szCs w:val="36"/>
        </w:rPr>
        <w:br w:type="page"/>
      </w:r>
    </w:p>
    <w:p>
      <w:pPr>
        <w:tabs>
          <w:tab w:val="left" w:pos="40"/>
        </w:tabs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检务督察流程图</w:t>
      </w:r>
    </w:p>
    <w:p>
      <w:pPr>
        <w:tabs>
          <w:tab w:val="left" w:pos="40"/>
        </w:tabs>
        <w:jc w:val="center"/>
        <w:rPr>
          <w:rFonts w:hint="eastAsia" w:ascii="黑体" w:hAnsi="黑体" w:eastAsia="黑体"/>
          <w:sz w:val="36"/>
          <w:szCs w:val="36"/>
        </w:rPr>
      </w:pPr>
    </w:p>
    <w:p>
      <w:r>
        <w:rPr>
          <w:rFonts w:hint="eastAsia"/>
        </w:rPr>
        <w:pict>
          <v:group id="_x0000_s2169" o:spid="_x0000_s2169" o:spt="203" style="position:absolute;left:0pt;margin-left:253.25pt;margin-top:8.05pt;height:401.45pt;width:255.65pt;z-index:251661312;mso-width-relative:page;mso-height-relative:page;" coordorigin="6145,2068" coordsize="5113,8029">
            <o:lock v:ext="edit"/>
            <v:rect id="_x0000_s2170" o:spid="_x0000_s2170" o:spt="1" style="position:absolute;left:6865;top:2311;height:366;width:3315;" coordsize="21600,21600">
              <v:path/>
              <v:fill focussize="0,0"/>
              <v:stroke/>
              <v:imagedata o:title=""/>
              <o:lock v:ext="edit"/>
            </v:rect>
            <v:rect id="_x0000_s2171" o:spid="_x0000_s2171" o:spt="1" style="position:absolute;left:6960;top:3442;height:637;width:3220;" coordsize="21600,21600">
              <v:path/>
              <v:fill focussize="0,0"/>
              <v:stroke/>
              <v:imagedata o:title=""/>
              <o:lock v:ext="edit"/>
            </v:rect>
            <v:rect id="_x0000_s2172" o:spid="_x0000_s2172" o:spt="1" style="position:absolute;left:6915;top:5198;height:637;width:3315;" coordsize="21600,21600">
              <v:path/>
              <v:fill focussize="0,0"/>
              <v:stroke/>
              <v:imagedata o:title=""/>
              <o:lock v:ext="edit"/>
            </v:rect>
            <v:rect id="_x0000_s2173" o:spid="_x0000_s2173" o:spt="1" style="position:absolute;left:6960;top:6259;height:637;width:3315;" coordsize="21600,21600">
              <v:path/>
              <v:fill focussize="0,0"/>
              <v:stroke/>
              <v:imagedata o:title=""/>
              <o:lock v:ext="edit"/>
            </v:rect>
            <v:rect id="_x0000_s2174" o:spid="_x0000_s2174" o:spt="1" style="position:absolute;left:6960;top:7384;height:323;width:3315;" coordsize="21600,21600">
              <v:path/>
              <v:fill focussize="0,0"/>
              <v:stroke/>
              <v:imagedata o:title=""/>
              <o:lock v:ext="edit"/>
            </v:rect>
            <v:rect id="_x0000_s2175" o:spid="_x0000_s2175" o:spt="1" style="position:absolute;left:7055;top:8439;height:637;width:3315;" coordsize="21600,21600">
              <v:path/>
              <v:fill focussize="0,0"/>
              <v:stroke/>
              <v:imagedata o:title=""/>
              <o:lock v:ext="edit"/>
            </v:rect>
            <v:rect id="_x0000_s2176" o:spid="_x0000_s2176" o:spt="1" style="position:absolute;left:7055;top:9678;height:105;width:3220;" coordsize="21600,21600">
              <v:path/>
              <v:fill focussize="0,0"/>
              <v:stroke/>
              <v:imagedata o:title=""/>
              <o:lock v:ext="edit"/>
            </v:rect>
            <v:shape id="_x0000_s2177" o:spid="_x0000_s2177" o:spt="32" type="#_x0000_t32" style="position:absolute;left:8607;top:8021;height:418;width:2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178" o:spid="_x0000_s2178" o:spt="32" type="#_x0000_t32" style="position:absolute;left:8604;top:2950;height:492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179" o:spid="_x0000_s2179" o:spt="32" type="#_x0000_t32" style="position:absolute;left:8605;top:4334;height:663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180" o:spid="_x0000_s2180" o:spt="32" type="#_x0000_t32" style="position:absolute;left:8606;top:5835;flip:x;height:424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181" o:spid="_x0000_s2181" o:spt="32" type="#_x0000_t32" style="position:absolute;left:8613;top:6896;height:429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182" o:spid="_x0000_s2182" o:spt="32" type="#_x0000_t32" style="position:absolute;left:8609;top:9076;flip:x;height:502;width:2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183" o:spid="_x0000_s2183" o:spt="202" type="#_x0000_t202" style="position:absolute;left:6145;top:2068;height:882;width:5113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确定检务督察工作计划和督察范围内容</w:t>
                    </w:r>
                  </w:p>
                  <w:p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cs="宋体"/>
                        <w:color w:val="000000"/>
                        <w:kern w:val="0"/>
                        <w:szCs w:val="21"/>
                      </w:rPr>
                      <w:t>依据：《南京市检察机关检务督察工作实施细则》</w:t>
                    </w:r>
                  </w:p>
                </w:txbxContent>
              </v:textbox>
            </v:shape>
            <v:shape id="_x0000_s2184" o:spid="_x0000_s2184" o:spt="202" type="#_x0000_t202" style="position:absolute;left:6145;top:3442;height:892;width:5113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抽调员额检察官、兼职纪检员等会同检务督察人员，组成督察组</w:t>
                    </w:r>
                  </w:p>
                </w:txbxContent>
              </v:textbox>
            </v:shape>
            <v:shape id="_x0000_s2185" o:spid="_x0000_s2185" o:spt="202" type="#_x0000_t202" style="position:absolute;left:6145;top:4997;height:838;width:494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通过现场督察、网络督察、突击检查等形式开展督察</w:t>
                    </w:r>
                  </w:p>
                </w:txbxContent>
              </v:textbox>
            </v:shape>
            <v:shape id="_x0000_s2186" o:spid="_x0000_s2186" o:spt="202" type="#_x0000_t202" style="position:absolute;left:6960;top:6259;height:637;width:345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纪检员制作督察通报</w:t>
                    </w:r>
                  </w:p>
                </w:txbxContent>
              </v:textbox>
            </v:shape>
            <v:shape id="_x0000_s2187" o:spid="_x0000_s2187" o:spt="202" type="#_x0000_t202" style="position:absolute;left:6915;top:7384;height:637;width:345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纪检组长审批</w:t>
                    </w:r>
                  </w:p>
                </w:txbxContent>
              </v:textbox>
            </v:shape>
            <v:shape id="_x0000_s2188" o:spid="_x0000_s2188" o:spt="202" type="#_x0000_t202" style="position:absolute;left:6960;top:8439;height:637;width:345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向全院发布检务督察通报</w:t>
                    </w:r>
                  </w:p>
                </w:txbxContent>
              </v:textbox>
            </v:shape>
            <v:shape id="_x0000_s2189" o:spid="_x0000_s2189" o:spt="202" type="#_x0000_t202" style="position:absolute;left:6960;top:9578;height:519;width:345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督促整改</w:t>
                    </w:r>
                  </w:p>
                </w:txbxContent>
              </v:textbox>
            </v:shape>
          </v:group>
        </w:pi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FA9"/>
    <w:rsid w:val="00330C82"/>
    <w:rsid w:val="004C7FA9"/>
    <w:rsid w:val="00FD63AB"/>
    <w:rsid w:val="731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77"/>
        <o:r id="V:Rule2" type="connector" idref="#_x0000_s2178"/>
        <o:r id="V:Rule3" type="connector" idref="#_x0000_s2179"/>
        <o:r id="V:Rule4" type="connector" idref="#_x0000_s2180"/>
        <o:r id="V:Rule5" type="connector" idref="#_x0000_s2181"/>
        <o:r id="V:Rule6" type="connector" idref="#_x0000_s2182"/>
        <o:r id="V:Rule7" type="connector" idref="#_x0000_s2208"/>
        <o:r id="V:Rule8" type="connector" idref="#_x0000_s2209"/>
        <o:r id="V:Rule9" type="connector" idref="#_x0000_s2210"/>
        <o:r id="V:Rule10" type="connector" idref="#_x0000_s2211"/>
        <o:r id="V:Rule11" type="connector" idref="#_x0000_s2212"/>
        <o:r id="V:Rule12" type="connector" idref="#_x0000_s2213"/>
        <o:r id="V:Rule13" type="connector" idref="#_x0000_s2214"/>
        <o:r id="V:Rule14" type="connector" idref="#_x0000_s2215"/>
        <o:r id="V:Rule15" type="connector" idref="#_x0000_s2216"/>
        <o:r id="V:Rule16" type="connector" idref="#_x0000_s2217"/>
        <o:r id="V:Rule17" type="connector" idref="#_x0000_s2218"/>
        <o:r id="V:Rule18" type="connector" idref="#_x0000_s2219"/>
        <o:r id="V:Rule19" type="connector" idref="#_x0000_s2220"/>
        <o:r id="V:Rule20" type="connector" idref="#_x0000_s2221"/>
        <o:r id="V:Rule21" type="connector" idref="#_x0000_s2222"/>
        <o:r id="V:Rule22" type="connector" idref="#_x0000_s2223"/>
        <o:r id="V:Rule23" type="connector" idref="#_x0000_s2225"/>
        <o:r id="V:Rule24" type="connector" idref="#_x0000_s2227"/>
        <o:r id="V:Rule25" type="connector" idref="#_x0000_s2229"/>
        <o:r id="V:Rule26" type="connector" idref="#_x0000_s2238"/>
        <o:r id="V:Rule27" type="connector" idref="#_x0000_s2239"/>
        <o:r id="V:Rule28" type="connector" idref="#_x0000_s2240"/>
        <o:r id="V:Rule29" type="connector" idref="#_x0000_s2241"/>
        <o:r id="V:Rule30" type="connector" idref="#_x0000_s2242"/>
        <o:r id="V:Rule31" type="connector" idref="#_x0000_s2243"/>
        <o:r id="V:Rule32" type="connector" idref="#_x0000_s2244"/>
        <o:r id="V:Rule33" type="connector" idref="#_x0000_s2245"/>
        <o:r id="V:Rule34" type="connector" idref="#_x0000_s2246"/>
        <o:r id="V:Rule35" type="connector" idref="#_x0000_s2247"/>
        <o:r id="V:Rule36" type="connector" idref="#_x0000_s2248"/>
        <o:r id="V:Rule37" type="connector" idref="#_x0000_s2249"/>
        <o:r id="V:Rule38" type="connector" idref="#_x0000_s2250"/>
        <o:r id="V:Rule39" type="connector" idref="#_x0000_s2251"/>
        <o:r id="V:Rule40" type="connector" idref="#_x0000_s2252"/>
        <o:r id="V:Rule41" type="connector" idref="#_x0000_s2253"/>
        <o:r id="V:Rule42" type="connector" idref="#_x0000_s2254"/>
        <o:r id="V:Rule43" type="connector" idref="#_x0000_s2257"/>
        <o:r id="V:Rule44" type="connector" idref="#_x0000_s2258"/>
        <o:r id="V:Rule45" type="connector" idref="#_x0000_s2259"/>
        <o:r id="V:Rule46" type="connector" idref="#_x0000_s22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6"/>
    <customShpInfo spid="_x0000_s2237"/>
    <customShpInfo spid="_x0000_s2238"/>
    <customShpInfo spid="_x0000_s2239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190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475</Words>
  <Characters>2713</Characters>
  <Lines>22</Lines>
  <Paragraphs>6</Paragraphs>
  <TotalTime>0</TotalTime>
  <ScaleCrop>false</ScaleCrop>
  <LinksUpToDate>false</LinksUpToDate>
  <CharactersWithSpaces>3182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2017-08-24T03:41:00Z</dcterms:created>
  <dc:creator>吴亦佳</dc:creator>
  <cp:lastModifiedBy>Administrator</cp:lastModifiedBy>
  <dcterms:modified xsi:type="dcterms:W3CDTF">2017-11-15T03:07:37Z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