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6"/>
          <w:szCs w:val="36"/>
        </w:rPr>
      </w:pPr>
      <w:bookmarkStart w:id="0" w:name="_GoBack"/>
      <w:bookmarkEnd w:id="0"/>
    </w:p>
    <w:p>
      <w:pPr>
        <w:jc w:val="center"/>
        <w:rPr>
          <w:b/>
          <w:sz w:val="36"/>
          <w:szCs w:val="36"/>
        </w:rPr>
      </w:pPr>
      <w:r>
        <w:rPr>
          <w:rFonts w:hint="eastAsia"/>
          <w:b/>
          <w:sz w:val="36"/>
          <w:szCs w:val="36"/>
        </w:rPr>
        <w:t>司法责任制改革后不起诉裁量权适用</w:t>
      </w:r>
    </w:p>
    <w:p>
      <w:pPr>
        <w:jc w:val="center"/>
        <w:rPr>
          <w:b/>
          <w:sz w:val="36"/>
          <w:szCs w:val="36"/>
        </w:rPr>
      </w:pPr>
      <w:r>
        <w:rPr>
          <w:rFonts w:hint="eastAsia"/>
          <w:b/>
          <w:sz w:val="36"/>
          <w:szCs w:val="36"/>
        </w:rPr>
        <w:t>分析报告</w:t>
      </w:r>
    </w:p>
    <w:p>
      <w:pPr>
        <w:jc w:val="center"/>
        <w:rPr>
          <w:sz w:val="36"/>
          <w:szCs w:val="36"/>
        </w:rPr>
      </w:pPr>
      <w:r>
        <w:rPr>
          <w:rFonts w:hint="eastAsia"/>
          <w:sz w:val="36"/>
          <w:szCs w:val="36"/>
        </w:rPr>
        <w:t xml:space="preserve">        </w:t>
      </w:r>
    </w:p>
    <w:p>
      <w:pPr>
        <w:ind w:firstLine="640" w:firstLineChars="200"/>
        <w:rPr>
          <w:rFonts w:ascii="仿宋" w:hAnsi="仿宋" w:eastAsia="仿宋"/>
          <w:sz w:val="32"/>
          <w:szCs w:val="32"/>
        </w:rPr>
      </w:pPr>
      <w:r>
        <w:rPr>
          <w:rFonts w:hint="eastAsia" w:ascii="仿宋" w:hAnsi="仿宋" w:eastAsia="仿宋"/>
          <w:sz w:val="32"/>
          <w:szCs w:val="32"/>
        </w:rPr>
        <w:t>司法责任制改革以来，以员额检察官为主体的办案责任制得到落实，相比改革之前员额检察官对于案件的处理有了更大的决定权，我们通过分析2017年1月1日至2018年6月30日某某地区作出不起诉决定的案件，对作出不起诉决定的案件数量、类型、适用理由等进行分析，力求为员额检察官准确适用不起诉裁量权提供可靠参考。</w:t>
      </w:r>
    </w:p>
    <w:p>
      <w:pPr>
        <w:ind w:firstLine="643" w:firstLineChars="200"/>
        <w:rPr>
          <w:rFonts w:ascii="仿宋" w:hAnsi="仿宋" w:eastAsia="仿宋"/>
          <w:b/>
          <w:sz w:val="32"/>
          <w:szCs w:val="32"/>
        </w:rPr>
      </w:pPr>
      <w:r>
        <w:rPr>
          <w:rFonts w:hint="eastAsia" w:ascii="仿宋" w:hAnsi="仿宋" w:eastAsia="仿宋"/>
          <w:b/>
          <w:sz w:val="32"/>
          <w:szCs w:val="32"/>
        </w:rPr>
        <w:t>一、不起诉案件基本情况</w:t>
      </w:r>
    </w:p>
    <w:p>
      <w:pPr>
        <w:ind w:firstLine="640" w:firstLineChars="200"/>
        <w:rPr>
          <w:rFonts w:ascii="仿宋" w:hAnsi="仿宋" w:eastAsia="仿宋"/>
          <w:sz w:val="32"/>
          <w:szCs w:val="32"/>
        </w:rPr>
      </w:pPr>
      <w:r>
        <w:rPr>
          <w:rFonts w:hint="eastAsia" w:ascii="仿宋" w:hAnsi="仿宋" w:eastAsia="仿宋"/>
          <w:sz w:val="32"/>
          <w:szCs w:val="32"/>
        </w:rPr>
        <w:t>2017年1月1日至2018年6月30日，某某区人民检察院共作出不起诉决定117人，占同期总受案人数1964人的5.96%。其中，作出相对不起诉61人，占不起诉总人数的52.1%；作出存疑不起诉31人，占不起诉总人数的26.5%；作出绝对不起诉25人，占不起诉总人数21.4%（见图1）。</w:t>
      </w:r>
    </w:p>
    <w:p>
      <w:pPr>
        <w:ind w:firstLine="640" w:firstLineChars="200"/>
        <w:rPr>
          <w:rFonts w:ascii="仿宋" w:hAnsi="仿宋" w:eastAsia="仿宋"/>
          <w:sz w:val="32"/>
          <w:szCs w:val="32"/>
        </w:rPr>
      </w:pPr>
      <w:r>
        <w:rPr>
          <w:rFonts w:ascii="仿宋" w:hAnsi="仿宋" w:eastAsia="仿宋"/>
          <w:sz w:val="32"/>
          <w:szCs w:val="32"/>
        </w:rPr>
        <w:drawing>
          <wp:inline distT="0" distB="0" distL="0" distR="0">
            <wp:extent cx="4457065" cy="2583180"/>
            <wp:effectExtent l="19050" t="0" r="19493" b="7088"/>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通过具体分析，不起诉案件呈以下几个方面的特点：</w:t>
      </w:r>
    </w:p>
    <w:p>
      <w:pPr>
        <w:pStyle w:val="7"/>
        <w:numPr>
          <w:ilvl w:val="0"/>
          <w:numId w:val="1"/>
        </w:numPr>
        <w:ind w:firstLineChars="0"/>
        <w:rPr>
          <w:rFonts w:ascii="仿宋" w:hAnsi="仿宋" w:eastAsia="仿宋"/>
          <w:b/>
          <w:sz w:val="32"/>
          <w:szCs w:val="32"/>
        </w:rPr>
      </w:pPr>
      <w:r>
        <w:rPr>
          <w:rFonts w:hint="eastAsia" w:ascii="仿宋" w:hAnsi="仿宋" w:eastAsia="仿宋"/>
          <w:b/>
          <w:sz w:val="32"/>
          <w:szCs w:val="32"/>
        </w:rPr>
        <w:t>不起诉决定数量整体呈上升趋势</w:t>
      </w:r>
    </w:p>
    <w:p>
      <w:pPr>
        <w:ind w:firstLine="640" w:firstLineChars="200"/>
        <w:rPr>
          <w:rFonts w:ascii="仿宋" w:hAnsi="仿宋" w:eastAsia="仿宋"/>
          <w:sz w:val="32"/>
          <w:szCs w:val="32"/>
        </w:rPr>
      </w:pPr>
      <w:r>
        <w:rPr>
          <w:rFonts w:hint="eastAsia" w:ascii="仿宋" w:hAnsi="仿宋" w:eastAsia="仿宋"/>
          <w:sz w:val="32"/>
          <w:szCs w:val="32"/>
        </w:rPr>
        <w:t>2018年半年以来，共作出不起诉决定43人，比2017年同期同比上升34.4%，比2016年同期同比上升13.2%；作出相对不起诉决定28人，比2017年同期同比上升47.4%，比2016年同期同比上升47.4%；作出存疑不起诉决定 11人，比2017年同期同比上升22.2%，与2016年同期持平；作出绝对不起诉4人，与2017年同期持平，比2016年同期同比下降50%（见图2）。可看出，不起诉案件总体呈上升趋势，其中相对不起诉案件增长幅度较大，说明今年以来，不起诉裁量权的适用更加灵活。</w:t>
      </w:r>
    </w:p>
    <w:p>
      <w:pPr>
        <w:rPr>
          <w:rFonts w:ascii="仿宋" w:hAnsi="仿宋" w:eastAsia="仿宋"/>
          <w:b/>
          <w:sz w:val="32"/>
          <w:szCs w:val="32"/>
        </w:rPr>
      </w:pPr>
      <w:r>
        <w:rPr>
          <w:rFonts w:hint="eastAsia" w:ascii="仿宋" w:hAnsi="仿宋" w:eastAsia="仿宋"/>
          <w:b/>
          <w:sz w:val="32"/>
          <w:szCs w:val="32"/>
        </w:rPr>
        <w:t>图2：2016年、2017年、2018年上半年不起诉类型统计表</w:t>
      </w:r>
    </w:p>
    <w:tbl>
      <w:tblPr>
        <w:tblStyle w:val="6"/>
        <w:tblW w:w="7953" w:type="dxa"/>
        <w:tblInd w:w="370" w:type="dxa"/>
        <w:tblLayout w:type="fixed"/>
        <w:tblCellMar>
          <w:top w:w="0" w:type="dxa"/>
          <w:left w:w="108" w:type="dxa"/>
          <w:bottom w:w="0" w:type="dxa"/>
          <w:right w:w="108" w:type="dxa"/>
        </w:tblCellMar>
      </w:tblPr>
      <w:tblGrid>
        <w:gridCol w:w="1575"/>
        <w:gridCol w:w="1559"/>
        <w:gridCol w:w="1559"/>
        <w:gridCol w:w="1701"/>
        <w:gridCol w:w="1559"/>
      </w:tblGrid>
      <w:tr>
        <w:tblPrEx>
          <w:tblLayout w:type="fixed"/>
          <w:tblCellMar>
            <w:top w:w="0" w:type="dxa"/>
            <w:left w:w="108" w:type="dxa"/>
            <w:bottom w:w="0" w:type="dxa"/>
            <w:right w:w="108" w:type="dxa"/>
          </w:tblCellMar>
        </w:tblPrEx>
        <w:trPr>
          <w:trHeight w:val="79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mc:AlternateContent>
                <mc:Choice Requires="wpg">
                  <w:drawing>
                    <wp:anchor distT="0" distB="0" distL="114300" distR="114300" simplePos="0" relativeHeight="251661312" behindDoc="0" locked="0" layoutInCell="1" allowOverlap="1">
                      <wp:simplePos x="0" y="0"/>
                      <wp:positionH relativeFrom="column">
                        <wp:posOffset>-56515</wp:posOffset>
                      </wp:positionH>
                      <wp:positionV relativeFrom="paragraph">
                        <wp:posOffset>1270</wp:posOffset>
                      </wp:positionV>
                      <wp:extent cx="947420" cy="433705"/>
                      <wp:effectExtent l="1905" t="4445" r="3175" b="19050"/>
                      <wp:wrapNone/>
                      <wp:docPr id="5" name="__TH_G12五号5"/>
                      <wp:cNvGraphicFramePr/>
                      <a:graphic xmlns:a="http://schemas.openxmlformats.org/drawingml/2006/main">
                        <a:graphicData uri="http://schemas.microsoft.com/office/word/2010/wordprocessingGroup">
                          <wpg:wgp>
                            <wpg:cNvGrpSpPr/>
                            <wpg:grpSpPr>
                              <a:xfrm>
                                <a:off x="0" y="0"/>
                                <a:ext cx="947420" cy="433705"/>
                                <a:chOff x="1790" y="2196"/>
                                <a:chExt cx="1850" cy="545"/>
                              </a:xfrm>
                            </wpg:grpSpPr>
                            <wps:wsp>
                              <wps:cNvPr id="1" name="__TH_L2"/>
                              <wps:cNvSpPr/>
                              <wps:spPr>
                                <a:xfrm>
                                  <a:off x="1790" y="2196"/>
                                  <a:ext cx="1850" cy="545"/>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2804" y="2227"/>
                                  <a:ext cx="252" cy="263"/>
                                </a:xfrm>
                                <a:prstGeom prst="rect">
                                  <a:avLst/>
                                </a:prstGeom>
                                <a:noFill/>
                                <a:ln w="9525">
                                  <a:noFill/>
                                </a:ln>
                              </wps:spPr>
                              <wps:txbx>
                                <w:txbxContent>
                                  <w:p>
                                    <w:pPr>
                                      <w:snapToGrid w:val="0"/>
                                      <w:rPr>
                                        <w:color w:val="000000"/>
                                      </w:rPr>
                                    </w:pPr>
                                    <w:r>
                                      <w:rPr>
                                        <w:rFonts w:hint="eastAsia"/>
                                        <w:color w:val="000000"/>
                                      </w:rPr>
                                      <w:t>类</w:t>
                                    </w:r>
                                  </w:p>
                                </w:txbxContent>
                              </wps:txbx>
                              <wps:bodyPr lIns="0" tIns="0" rIns="0" bIns="0" upright="1"/>
                            </wps:wsp>
                            <wps:wsp>
                              <wps:cNvPr id="4" name="__TH_B124"/>
                              <wps:cNvSpPr txBox="1"/>
                              <wps:spPr>
                                <a:xfrm>
                                  <a:off x="3193" y="2342"/>
                                  <a:ext cx="252" cy="262"/>
                                </a:xfrm>
                                <a:prstGeom prst="rect">
                                  <a:avLst/>
                                </a:prstGeom>
                                <a:noFill/>
                                <a:ln w="9525">
                                  <a:noFill/>
                                </a:ln>
                              </wps:spPr>
                              <wps:txbx>
                                <w:txbxContent>
                                  <w:p>
                                    <w:pPr>
                                      <w:snapToGrid w:val="0"/>
                                      <w:rPr>
                                        <w:color w:val="000000"/>
                                      </w:rPr>
                                    </w:pPr>
                                    <w:r>
                                      <w:rPr>
                                        <w:rFonts w:hint="eastAsia"/>
                                        <w:color w:val="000000"/>
                                      </w:rPr>
                                      <w:t>别</w:t>
                                    </w:r>
                                  </w:p>
                                </w:txbxContent>
                              </wps:txbx>
                              <wps:bodyPr wrap="square" lIns="0" tIns="0" rIns="0" bIns="0" upright="1"/>
                            </wps:wsp>
                          </wpg:wgp>
                        </a:graphicData>
                      </a:graphic>
                    </wp:anchor>
                  </w:drawing>
                </mc:Choice>
                <mc:Fallback>
                  <w:pict>
                    <v:group id="__TH_G12五号5" o:spid="_x0000_s1026" o:spt="203" style="position:absolute;left:0pt;margin-left:-4.45pt;margin-top:0.1pt;height:34.15pt;width:74.6pt;z-index:251661312;mso-width-relative:page;mso-height-relative:page;" coordorigin="1790,2196" coordsize="1850,545" o:gfxdata="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I&#10;udVD1gAAAAYBAAAPAAAAAAAAAAEAIAAAACIAAABkcnMvZG93bnJldi54bWxQSwECFAAUAAAACACH&#10;TuJAuBdsL9ECAAAICAAADgAAAAAAAAABACAAAAAlAQAAZHJzL2Uyb0RvYy54bWxQSwUGAAAAAAYA&#10;BgBZAQAAaAYAAAAA&#10;">
                      <o:lock v:ext="edit" aspectratio="f"/>
                      <v:line id="__TH_L2" o:spid="_x0000_s1026" o:spt="20" style="position:absolute;left:1790;top:2196;height:545;width:1850;"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2804;top:2227;height:263;width:252;"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rPr>
                              </w:pPr>
                              <w:r>
                                <w:rPr>
                                  <w:rFonts w:hint="eastAsia"/>
                                  <w:color w:val="000000"/>
                                </w:rPr>
                                <w:t>类</w:t>
                              </w:r>
                            </w:p>
                          </w:txbxContent>
                        </v:textbox>
                      </v:shape>
                      <v:shape id="__TH_B124" o:spid="_x0000_s1026" o:spt="202" type="#_x0000_t202" style="position:absolute;left:3193;top:2342;height:262;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rPr>
                              </w:pPr>
                              <w:r>
                                <w:rPr>
                                  <w:rFonts w:hint="eastAsia"/>
                                  <w:color w:val="000000"/>
                                </w:rPr>
                                <w:t>别</w:t>
                              </w:r>
                            </w:p>
                          </w:txbxContent>
                        </v:textbox>
                      </v:shape>
                    </v:group>
                  </w:pict>
                </mc:Fallback>
              </mc:AlternateContent>
            </w:r>
          </w:p>
          <w:p>
            <w:pPr>
              <w:rPr>
                <w:rFonts w:ascii="宋体" w:hAnsi="宋体" w:eastAsia="宋体" w:cs="宋体"/>
                <w:sz w:val="22"/>
              </w:rPr>
            </w:pPr>
            <w:r>
              <w:rPr>
                <w:rFonts w:hint="eastAsia" w:ascii="宋体" w:hAnsi="宋体" w:eastAsia="宋体" w:cs="宋体"/>
                <w:sz w:val="22"/>
              </w:rPr>
              <w:t xml:space="preserve">年份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相对不起诉（人）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绝对不起诉（人）</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存疑不起诉（人）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总计（人）</w:t>
            </w:r>
          </w:p>
        </w:tc>
      </w:tr>
      <w:tr>
        <w:tblPrEx>
          <w:tblLayout w:type="fixed"/>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2016年1-6月</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r>
      <w:tr>
        <w:tblPrEx>
          <w:tblLayout w:type="fixed"/>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2017年1-6月</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r>
      <w:tr>
        <w:tblPrEx>
          <w:tblLayout w:type="fixed"/>
          <w:tblCellMar>
            <w:top w:w="0" w:type="dxa"/>
            <w:left w:w="108" w:type="dxa"/>
            <w:bottom w:w="0" w:type="dxa"/>
            <w:right w:w="108" w:type="dxa"/>
          </w:tblCellMar>
        </w:tblPrEx>
        <w:trPr>
          <w:trHeight w:val="345"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2018年1-6月</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r>
    </w:tbl>
    <w:p>
      <w:pPr>
        <w:pStyle w:val="7"/>
        <w:numPr>
          <w:ilvl w:val="0"/>
          <w:numId w:val="1"/>
        </w:numPr>
        <w:ind w:firstLineChars="0"/>
        <w:rPr>
          <w:rFonts w:ascii="仿宋" w:hAnsi="仿宋" w:eastAsia="仿宋"/>
          <w:b/>
          <w:sz w:val="32"/>
          <w:szCs w:val="32"/>
        </w:rPr>
      </w:pPr>
      <w:r>
        <w:rPr>
          <w:rFonts w:hint="eastAsia" w:ascii="仿宋" w:hAnsi="仿宋" w:eastAsia="仿宋"/>
          <w:b/>
          <w:sz w:val="32"/>
          <w:szCs w:val="32"/>
        </w:rPr>
        <w:t>涉案人员年龄相对集中、文化程度偏低</w:t>
      </w:r>
    </w:p>
    <w:p>
      <w:pPr>
        <w:ind w:firstLine="800" w:firstLineChars="250"/>
        <w:rPr>
          <w:rFonts w:ascii="仿宋" w:hAnsi="仿宋" w:eastAsia="仿宋"/>
          <w:color w:val="FF0000"/>
          <w:sz w:val="32"/>
          <w:szCs w:val="32"/>
        </w:rPr>
      </w:pPr>
      <w:r>
        <w:rPr>
          <w:rFonts w:hint="eastAsia" w:ascii="仿宋" w:hAnsi="仿宋" w:eastAsia="仿宋"/>
          <w:sz w:val="32"/>
          <w:szCs w:val="32"/>
        </w:rPr>
        <w:t>涉案人员年龄、职业、教育情况看，涉案人员年龄跨度大，在17-80岁之间，但主要集中于35-45岁，共85人，占比72.6%；除职务犯罪类案件外，几乎皆系无业人员；初中以下学历74人，占比63.25%；在非法捕捞类案件中尤为明显，涉案人员皆无业、文盲或初中文化，一半以上涉案人员系五十岁以上中老年人，涉案人员年龄偏大、文化程度低，他们对禁渔期、禁渔区、禁渔工具无明确认识，说明在中老年年龄段环保生态类问题普法的缺失。</w:t>
      </w:r>
    </w:p>
    <w:p>
      <w:pPr>
        <w:pStyle w:val="7"/>
        <w:numPr>
          <w:ilvl w:val="0"/>
          <w:numId w:val="1"/>
        </w:numPr>
        <w:ind w:firstLineChars="0"/>
        <w:rPr>
          <w:rFonts w:ascii="仿宋" w:hAnsi="仿宋" w:eastAsia="仿宋"/>
          <w:b/>
          <w:sz w:val="32"/>
          <w:szCs w:val="32"/>
        </w:rPr>
      </w:pPr>
      <w:r>
        <w:rPr>
          <w:rFonts w:hint="eastAsia" w:ascii="仿宋" w:hAnsi="仿宋" w:eastAsia="仿宋"/>
          <w:b/>
          <w:sz w:val="32"/>
          <w:szCs w:val="32"/>
        </w:rPr>
        <w:t>不起诉案件涉嫌的罪名和领域相对集中</w:t>
      </w:r>
    </w:p>
    <w:p>
      <w:pPr>
        <w:ind w:firstLine="800" w:firstLineChars="250"/>
        <w:rPr>
          <w:rFonts w:ascii="仿宋" w:hAnsi="仿宋" w:eastAsia="仿宋"/>
          <w:sz w:val="32"/>
          <w:szCs w:val="32"/>
        </w:rPr>
      </w:pPr>
      <w:r>
        <w:rPr>
          <w:rFonts w:hint="eastAsia" w:ascii="仿宋" w:hAnsi="仿宋" w:eastAsia="仿宋"/>
          <w:sz w:val="32"/>
          <w:szCs w:val="32"/>
        </w:rPr>
        <w:t>在作出不起诉决定的犯罪嫌疑人中，虽然涉嫌的罪名较多，共20余类，但罪名相对集中，如涉嫌交通肇事罪及危险驾驶罪21人、涉嫌盗窃罪17人，涉嫌非法捕捞水产品罪15人，涉嫌生产、销售假药罪及有毒、有害食品罪 9人，涉嫌故意伤害罪7人。这五类罪名涉及不起诉共计69人，占不起诉总人数的59%，超过了半数。在绝对不起诉25人中，最多的为涉嫌非法捕捞水产品罪14人，占比56.0%；在存疑不起诉31人中，最多的为涉嫌生产、销售假药及有毒有害食品罪8人，占比25.8 %；在相对不起诉61人中,最多的为涉嫌交通肇事罪及危险驾驶罪19人,占比31.1 %。可以看出，食药环类案件、危害公共安全和公民人身安全、财产类案件是当前案件审查的重点。</w:t>
      </w:r>
    </w:p>
    <w:p>
      <w:pPr>
        <w:ind w:firstLine="640" w:firstLineChars="200"/>
        <w:rPr>
          <w:rFonts w:ascii="仿宋" w:hAnsi="仿宋" w:eastAsia="仿宋"/>
          <w:sz w:val="32"/>
          <w:szCs w:val="32"/>
        </w:rPr>
      </w:pPr>
      <w:r>
        <w:rPr>
          <w:rFonts w:hint="eastAsia" w:ascii="仿宋" w:hAnsi="仿宋" w:eastAsia="仿宋"/>
          <w:sz w:val="32"/>
          <w:szCs w:val="32"/>
        </w:rPr>
        <w:t>2017年以来，涉嫌非法捕捞水产品罪案件受理总数42人，不起诉人数占受理总人数的比为33.33%。说明在全国对危害食药、环境资源犯罪专项高压打击下，检察机关对重点案件的构罪、裁量把握更加严谨。</w:t>
      </w:r>
    </w:p>
    <w:p>
      <w:pPr>
        <w:ind w:firstLine="630" w:firstLineChars="196"/>
        <w:rPr>
          <w:rFonts w:ascii="仿宋" w:hAnsi="仿宋" w:eastAsia="仿宋"/>
          <w:b/>
          <w:sz w:val="32"/>
          <w:szCs w:val="32"/>
        </w:rPr>
      </w:pPr>
      <w:r>
        <w:rPr>
          <w:rFonts w:hint="eastAsia" w:ascii="仿宋" w:hAnsi="仿宋" w:eastAsia="仿宋"/>
          <w:b/>
          <w:sz w:val="32"/>
          <w:szCs w:val="32"/>
        </w:rPr>
        <w:t>（四）不起诉人数占受理案件人数的比率呈较低状态</w:t>
      </w:r>
    </w:p>
    <w:p>
      <w:pPr>
        <w:ind w:firstLine="640" w:firstLineChars="200"/>
        <w:rPr>
          <w:rFonts w:ascii="仿宋" w:hAnsi="仿宋" w:eastAsia="仿宋"/>
          <w:sz w:val="32"/>
          <w:szCs w:val="32"/>
          <w:lang w:val="zh-CN"/>
        </w:rPr>
      </w:pPr>
      <w:r>
        <w:rPr>
          <w:rFonts w:hint="eastAsia" w:ascii="仿宋" w:hAnsi="仿宋" w:eastAsia="仿宋"/>
          <w:sz w:val="32"/>
          <w:szCs w:val="32"/>
          <w:lang w:val="zh-CN"/>
        </w:rPr>
        <w:t>2016年受理公诉案件1286人，作出不起诉决定</w:t>
      </w:r>
      <w:r>
        <w:rPr>
          <w:rFonts w:hint="eastAsia" w:ascii="仿宋_GB2312" w:eastAsia="仿宋_GB2312"/>
          <w:sz w:val="30"/>
          <w:szCs w:val="30"/>
        </w:rPr>
        <w:t>86人</w:t>
      </w:r>
      <w:r>
        <w:rPr>
          <w:rFonts w:hint="eastAsia" w:ascii="仿宋" w:hAnsi="仿宋" w:eastAsia="仿宋"/>
          <w:sz w:val="32"/>
          <w:szCs w:val="32"/>
          <w:lang w:val="zh-CN"/>
        </w:rPr>
        <w:t>；2017受理公诉案件1249人，作出不起诉决定83人； 2018年上半年受理公诉案件715人，作出不起诉决定43人；不起诉人数占受理人数的比率分别为6.69%、5.92%、6.01%（见图3） ，可知2017年员额检察官责任制改革以来，</w:t>
      </w:r>
      <w:r>
        <w:rPr>
          <w:rFonts w:hint="eastAsia" w:ascii="仿宋" w:hAnsi="仿宋" w:eastAsia="仿宋"/>
          <w:sz w:val="32"/>
          <w:szCs w:val="32"/>
        </w:rPr>
        <w:t>在案件总量增加的情况下，</w:t>
      </w:r>
      <w:r>
        <w:rPr>
          <w:rFonts w:hint="eastAsia" w:ascii="仿宋" w:hAnsi="仿宋" w:eastAsia="仿宋"/>
          <w:sz w:val="32"/>
          <w:szCs w:val="32"/>
          <w:lang w:val="zh-CN"/>
        </w:rPr>
        <w:t>不起诉人数绝对数量虽有所上升，不起诉率有所下降，与本市基层院中最高的7.80%的比例相比还较低，说明员额检察官改革后，未更积极有效地适用不起诉裁量权。</w:t>
      </w:r>
    </w:p>
    <w:p>
      <w:pPr>
        <w:ind w:firstLine="643" w:firstLineChars="200"/>
        <w:rPr>
          <w:rFonts w:ascii="仿宋" w:hAnsi="仿宋" w:eastAsia="仿宋"/>
          <w:b/>
          <w:sz w:val="32"/>
          <w:szCs w:val="32"/>
        </w:rPr>
      </w:pPr>
      <w:r>
        <w:rPr>
          <w:rFonts w:hint="eastAsia" w:ascii="仿宋" w:hAnsi="仿宋" w:eastAsia="仿宋"/>
          <w:b/>
          <w:sz w:val="32"/>
          <w:szCs w:val="32"/>
        </w:rPr>
        <w:t>图3:2016年至2018年上半年不起诉人数占受理人数的比率</w:t>
      </w:r>
    </w:p>
    <w:tbl>
      <w:tblPr>
        <w:tblStyle w:val="6"/>
        <w:tblpPr w:leftFromText="180" w:rightFromText="180" w:vertAnchor="text" w:horzAnchor="margin" w:tblpXSpec="right" w:tblpY="164"/>
        <w:tblW w:w="8046" w:type="dxa"/>
        <w:tblInd w:w="0" w:type="dxa"/>
        <w:tblLayout w:type="fixed"/>
        <w:tblCellMar>
          <w:top w:w="0" w:type="dxa"/>
          <w:left w:w="108" w:type="dxa"/>
          <w:bottom w:w="0" w:type="dxa"/>
          <w:right w:w="108" w:type="dxa"/>
        </w:tblCellMar>
      </w:tblPr>
      <w:tblGrid>
        <w:gridCol w:w="1044"/>
        <w:gridCol w:w="2060"/>
        <w:gridCol w:w="2189"/>
        <w:gridCol w:w="2753"/>
      </w:tblGrid>
      <w:tr>
        <w:tblPrEx>
          <w:tblLayout w:type="fixed"/>
          <w:tblCellMar>
            <w:top w:w="0" w:type="dxa"/>
            <w:left w:w="108" w:type="dxa"/>
            <w:bottom w:w="0" w:type="dxa"/>
            <w:right w:w="108" w:type="dxa"/>
          </w:tblCellMar>
        </w:tblPrEx>
        <w:trPr>
          <w:trHeight w:val="376" w:hRule="atLeast"/>
        </w:trPr>
        <w:tc>
          <w:tcPr>
            <w:tcW w:w="1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20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公诉案件</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受理人数</w:t>
            </w:r>
          </w:p>
        </w:tc>
        <w:tc>
          <w:tcPr>
            <w:tcW w:w="218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作出不起诉</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决定人数</w:t>
            </w:r>
          </w:p>
        </w:tc>
        <w:tc>
          <w:tcPr>
            <w:tcW w:w="275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不起诉人数占</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受理人数的比率</w:t>
            </w:r>
          </w:p>
        </w:tc>
      </w:tr>
      <w:tr>
        <w:tblPrEx>
          <w:tblLayout w:type="fixed"/>
          <w:tblCellMar>
            <w:top w:w="0" w:type="dxa"/>
            <w:left w:w="108" w:type="dxa"/>
            <w:bottom w:w="0" w:type="dxa"/>
            <w:right w:w="108" w:type="dxa"/>
          </w:tblCellMar>
        </w:tblPrEx>
        <w:trPr>
          <w:trHeight w:val="634" w:hRule="atLeast"/>
        </w:trPr>
        <w:tc>
          <w:tcPr>
            <w:tcW w:w="104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2016年</w:t>
            </w:r>
          </w:p>
        </w:tc>
        <w:tc>
          <w:tcPr>
            <w:tcW w:w="2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1286</w:t>
            </w:r>
          </w:p>
        </w:tc>
        <w:tc>
          <w:tcPr>
            <w:tcW w:w="218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w:t>
            </w:r>
          </w:p>
        </w:tc>
        <w:tc>
          <w:tcPr>
            <w:tcW w:w="27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6.69%</w:t>
            </w:r>
          </w:p>
        </w:tc>
      </w:tr>
      <w:tr>
        <w:tblPrEx>
          <w:tblLayout w:type="fixed"/>
          <w:tblCellMar>
            <w:top w:w="0" w:type="dxa"/>
            <w:left w:w="108" w:type="dxa"/>
            <w:bottom w:w="0" w:type="dxa"/>
            <w:right w:w="108" w:type="dxa"/>
          </w:tblCellMar>
        </w:tblPrEx>
        <w:trPr>
          <w:trHeight w:val="527" w:hRule="atLeast"/>
        </w:trPr>
        <w:tc>
          <w:tcPr>
            <w:tcW w:w="104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2017年</w:t>
            </w:r>
          </w:p>
        </w:tc>
        <w:tc>
          <w:tcPr>
            <w:tcW w:w="2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1249</w:t>
            </w:r>
          </w:p>
        </w:tc>
        <w:tc>
          <w:tcPr>
            <w:tcW w:w="218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w:t>
            </w:r>
          </w:p>
        </w:tc>
        <w:tc>
          <w:tcPr>
            <w:tcW w:w="27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5.92%</w:t>
            </w:r>
          </w:p>
        </w:tc>
      </w:tr>
      <w:tr>
        <w:tblPrEx>
          <w:tblLayout w:type="fixed"/>
          <w:tblCellMar>
            <w:top w:w="0" w:type="dxa"/>
            <w:left w:w="108" w:type="dxa"/>
            <w:bottom w:w="0" w:type="dxa"/>
            <w:right w:w="108" w:type="dxa"/>
          </w:tblCellMar>
        </w:tblPrEx>
        <w:trPr>
          <w:trHeight w:val="376" w:hRule="atLeast"/>
        </w:trPr>
        <w:tc>
          <w:tcPr>
            <w:tcW w:w="104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2018年上半年</w:t>
            </w:r>
          </w:p>
        </w:tc>
        <w:tc>
          <w:tcPr>
            <w:tcW w:w="2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715</w:t>
            </w:r>
          </w:p>
        </w:tc>
        <w:tc>
          <w:tcPr>
            <w:tcW w:w="218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27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6.01%</w:t>
            </w:r>
          </w:p>
        </w:tc>
      </w:tr>
    </w:tbl>
    <w:p>
      <w:pPr>
        <w:ind w:firstLine="643" w:firstLineChars="200"/>
        <w:rPr>
          <w:rFonts w:ascii="仿宋" w:hAnsi="仿宋" w:eastAsia="仿宋"/>
          <w:b/>
          <w:color w:val="FF0000"/>
          <w:sz w:val="32"/>
          <w:szCs w:val="32"/>
        </w:rPr>
      </w:pPr>
      <w:r>
        <w:rPr>
          <w:rFonts w:hint="eastAsia" w:ascii="仿宋" w:hAnsi="仿宋" w:eastAsia="仿宋"/>
          <w:b/>
          <w:sz w:val="32"/>
          <w:szCs w:val="32"/>
        </w:rPr>
        <w:t>（五）不起诉决定中，相对不起诉比例最高，存疑不起诉后续措施不到位</w:t>
      </w:r>
    </w:p>
    <w:p>
      <w:pPr>
        <w:ind w:firstLine="640" w:firstLineChars="200"/>
        <w:rPr>
          <w:rFonts w:ascii="仿宋" w:hAnsi="仿宋" w:eastAsia="仿宋"/>
          <w:sz w:val="32"/>
          <w:szCs w:val="32"/>
        </w:rPr>
      </w:pPr>
      <w:r>
        <w:rPr>
          <w:rFonts w:hint="eastAsia" w:ascii="仿宋" w:hAnsi="仿宋" w:eastAsia="仿宋"/>
          <w:sz w:val="32"/>
          <w:szCs w:val="32"/>
        </w:rPr>
        <w:t>2017年1月1日至2018年6月30日，在作出的不起诉决定中，相对不起诉决定61人，占不起诉总人数的52.1%；存疑不起诉决定31人，占不起诉总人数的26.5%；绝对不起诉25人，占不起诉总人数21.4%。司法体制改革背景下，检察机关适用相对不起诉较多，说明检察机关严格把握起诉标准，遵循罪责刑相适应的原则，综合犯罪性质、情节、手段等主观恶性及社会情势，判断社会危害程度，不枉不纵，作出符合公序良俗的决定，办理案件更加注重法律效果、政治效果、社会效果。同时，存疑不起诉的增加突出了检察机关积极发挥引导侦查作用，确保提起公诉案件的证据标准，有利于提高对犯罪的指控水平，但从存疑不起诉案件后续跟踪中发现，作出存疑不起诉决定的31名犯罪嫌疑人目前侦查机关均未再次移送审查起诉，检察机关发出的补充侦查建议书的内容并未得到落实，侦查机关存在懈怠侦查的现象。</w:t>
      </w:r>
    </w:p>
    <w:p>
      <w:pPr>
        <w:ind w:firstLine="643" w:firstLineChars="200"/>
        <w:rPr>
          <w:rFonts w:ascii="仿宋" w:hAnsi="仿宋" w:eastAsia="仿宋"/>
          <w:b/>
          <w:sz w:val="32"/>
          <w:szCs w:val="32"/>
        </w:rPr>
      </w:pPr>
      <w:r>
        <w:rPr>
          <w:rFonts w:hint="eastAsia" w:ascii="仿宋" w:hAnsi="仿宋" w:eastAsia="仿宋"/>
          <w:b/>
          <w:sz w:val="32"/>
          <w:szCs w:val="32"/>
        </w:rPr>
        <w:t>二、围绕深化不起诉裁量权适用的探索</w:t>
      </w:r>
    </w:p>
    <w:p>
      <w:pPr>
        <w:ind w:firstLine="640" w:firstLineChars="200"/>
        <w:rPr>
          <w:rFonts w:ascii="仿宋" w:hAnsi="仿宋" w:eastAsia="仿宋"/>
          <w:sz w:val="32"/>
          <w:szCs w:val="32"/>
        </w:rPr>
      </w:pPr>
      <w:r>
        <w:rPr>
          <w:rFonts w:hint="eastAsia" w:ascii="仿宋" w:hAnsi="仿宋" w:eastAsia="仿宋"/>
          <w:sz w:val="32"/>
          <w:szCs w:val="32"/>
        </w:rPr>
        <w:t>司法体制改革以来，该院一直对不起诉裁量权适用进行探索，以实现不起诉裁量权适用常态化为目标，不断创新工作方式，延伸法律触角，将扩大不起诉裁量权适用与检务公开、法律宣传、多渠道监督等相结合，多形式、多角度开展不起诉案件审查，初步形成监督体制，效果显著。</w:t>
      </w:r>
    </w:p>
    <w:p>
      <w:pPr>
        <w:ind w:firstLine="643" w:firstLineChars="200"/>
        <w:rPr>
          <w:rFonts w:ascii="仿宋" w:hAnsi="仿宋" w:eastAsia="仿宋"/>
          <w:sz w:val="32"/>
          <w:szCs w:val="32"/>
        </w:rPr>
      </w:pPr>
      <w:r>
        <w:rPr>
          <w:rFonts w:hint="eastAsia" w:ascii="仿宋" w:hAnsi="仿宋" w:eastAsia="仿宋"/>
          <w:b/>
          <w:sz w:val="32"/>
          <w:szCs w:val="32"/>
        </w:rPr>
        <w:t>1.追求实效，将三个效果统一作为衡量不起诉的重要标准。</w:t>
      </w:r>
      <w:r>
        <w:rPr>
          <w:rFonts w:hint="eastAsia" w:ascii="仿宋" w:hAnsi="仿宋" w:eastAsia="仿宋"/>
          <w:sz w:val="32"/>
          <w:szCs w:val="32"/>
        </w:rPr>
        <w:t>该院在办理案件中，以实现法律效果、政治效果、社会效果的统一目标，探索公开审查，对部分典型案件积极引入外部意见和监督，召开公开审查听证会，邀请侦查机关承办人、律师专家代表、人民监督员、人大代表、政协委员出席并发表意见，一方面保证内部实体、程序监督的公开化，另一方面也让社会各界参与监督，实现了检务公开的创新。实施此项制度以来，共对8件案件进行了公开审查，其中对一起交通肇事致两人人死亡案件作了相对不起诉处理，虽然此案按照刑法规定，可能判处三年以上刑罚，但被害人系犯罪嫌疑人双亲，考虑情、理、法等多方因素，最终对这起案件做了相对不起诉处理，得到了社会各界的一致肯定。</w:t>
      </w:r>
    </w:p>
    <w:p>
      <w:pPr>
        <w:ind w:firstLine="643" w:firstLineChars="200"/>
        <w:rPr>
          <w:rFonts w:ascii="仿宋" w:hAnsi="仿宋" w:eastAsia="仿宋"/>
          <w:sz w:val="32"/>
          <w:szCs w:val="32"/>
        </w:rPr>
      </w:pPr>
      <w:r>
        <w:rPr>
          <w:rFonts w:hint="eastAsia" w:ascii="仿宋" w:hAnsi="仿宋" w:eastAsia="仿宋"/>
          <w:b/>
          <w:sz w:val="32"/>
          <w:szCs w:val="32"/>
        </w:rPr>
        <w:t>2.广泛收集和听取意见，强化内部监督。</w:t>
      </w:r>
      <w:r>
        <w:rPr>
          <w:rFonts w:hint="eastAsia" w:ascii="仿宋" w:hAnsi="仿宋" w:eastAsia="仿宋"/>
          <w:sz w:val="32"/>
          <w:szCs w:val="32"/>
        </w:rPr>
        <w:t>传统不起诉案件的监督机制由于监督主体、范围等局限性，导致对不起诉案件的审查意见过于单一，司法责任制改革以来，我们在尊重员额检察官的意见的基础上，探索多渠道听取其他员额检察官意见，对各方意见进行分析论证，最大限度听取不同人群的不同声音，一方面确保不起诉决定的质效，另一方面让员额检察官加强业务能力的培养，也监督了不起诉权的公正行使。</w:t>
      </w:r>
    </w:p>
    <w:p>
      <w:pPr>
        <w:ind w:firstLine="643" w:firstLineChars="200"/>
        <w:rPr>
          <w:rFonts w:ascii="仿宋" w:hAnsi="仿宋" w:eastAsia="仿宋"/>
          <w:sz w:val="32"/>
          <w:szCs w:val="32"/>
        </w:rPr>
      </w:pPr>
      <w:r>
        <w:rPr>
          <w:rFonts w:hint="eastAsia" w:ascii="仿宋" w:hAnsi="仿宋" w:eastAsia="仿宋"/>
          <w:b/>
          <w:sz w:val="32"/>
          <w:szCs w:val="32"/>
        </w:rPr>
        <w:t>3.延伸检察触角，彰显不起诉效果。</w:t>
      </w:r>
      <w:r>
        <w:rPr>
          <w:rFonts w:hint="eastAsia" w:ascii="仿宋" w:hAnsi="仿宋" w:eastAsia="仿宋"/>
          <w:sz w:val="32"/>
          <w:szCs w:val="32"/>
        </w:rPr>
        <w:t>以往不起诉办理涉及范围只局限于案件当事人，相关社区、单位由于各种原因很多情况无法到场，虽然对社区等部门有文书送达环节，但仍无法达到法律宣传监督效果。该院探索改变以往不起诉宣布方式，创新工作方法，走进社区等当事人所在地进行不起诉决定宣读，并邀请相关群众旁听，对涉及罪名进行释法说理，一方面创新了检察机关检务公开的新形式，体现了检察机关扩大外部监督范围，另一方面也对违法犯罪的行为有一定约束、震慑作用，更能达到社区监督执行的效果，督促被不起诉后的当事人后续改正行为符合各项规定。</w:t>
      </w:r>
    </w:p>
    <w:p>
      <w:pPr>
        <w:ind w:firstLine="643" w:firstLineChars="200"/>
        <w:rPr>
          <w:rFonts w:ascii="仿宋" w:hAnsi="仿宋" w:eastAsia="仿宋"/>
          <w:b/>
          <w:sz w:val="32"/>
          <w:szCs w:val="32"/>
        </w:rPr>
      </w:pPr>
      <w:r>
        <w:rPr>
          <w:rFonts w:hint="eastAsia" w:ascii="仿宋" w:hAnsi="仿宋" w:eastAsia="仿宋"/>
          <w:b/>
          <w:sz w:val="32"/>
          <w:szCs w:val="32"/>
        </w:rPr>
        <w:t>三、目前深化不起诉裁量权适用存在的问题</w:t>
      </w:r>
    </w:p>
    <w:p>
      <w:pPr>
        <w:ind w:firstLine="643" w:firstLineChars="200"/>
        <w:rPr>
          <w:rFonts w:ascii="仿宋" w:hAnsi="仿宋" w:eastAsia="仿宋"/>
          <w:sz w:val="32"/>
          <w:szCs w:val="32"/>
        </w:rPr>
      </w:pPr>
      <w:r>
        <w:rPr>
          <w:rFonts w:hint="eastAsia" w:ascii="仿宋" w:hAnsi="仿宋" w:eastAsia="仿宋"/>
          <w:b/>
          <w:sz w:val="32"/>
          <w:szCs w:val="32"/>
        </w:rPr>
        <w:t>1.不起诉适用标准不明确，办案人员“不敢”适用不起诉裁量权。</w:t>
      </w:r>
      <w:r>
        <w:rPr>
          <w:rFonts w:hint="eastAsia" w:ascii="仿宋" w:hAnsi="仿宋" w:eastAsia="仿宋"/>
          <w:sz w:val="32"/>
          <w:szCs w:val="32"/>
        </w:rPr>
        <w:t>在办案过程中，由于我国实行起诉法定主义以及更深层次的法律传统原因即奉行严格规则主义，使得司法人员偏向坚持起诉制度的立场，加之不起诉裁量权适用范围有限且严格限制，适用标准不统一不明确，故大多数承办人在嫌疑人构罪情况下，更多选择对案件提起公诉，在心理的一定程度上是“不敢或不愿”决定不起诉，认为这样会放纵犯罪，可能会造成被害人的不满及信访风险，因此为了避免不必要的麻烦以及考核制度下追求结案率，而更多的是对案件作出起诉决定。这样的后果既造成不起诉裁量权未得到充分适用，也在一定程度上体现了执法机关对挽救和教育的执法理念的轻视，忽视了不起诉制度诉讼价值的体现。</w:t>
      </w:r>
    </w:p>
    <w:p>
      <w:pPr>
        <w:ind w:firstLine="643" w:firstLineChars="200"/>
        <w:rPr>
          <w:rFonts w:ascii="仿宋" w:hAnsi="仿宋" w:eastAsia="仿宋"/>
          <w:sz w:val="32"/>
          <w:szCs w:val="32"/>
        </w:rPr>
      </w:pPr>
      <w:r>
        <w:rPr>
          <w:rFonts w:hint="eastAsia" w:ascii="仿宋" w:hAnsi="仿宋" w:eastAsia="仿宋"/>
          <w:b/>
          <w:sz w:val="32"/>
          <w:szCs w:val="32"/>
        </w:rPr>
        <w:t>2.不起诉适用程序复杂，司法人员“不愿”适用不起诉裁量权。</w:t>
      </w:r>
      <w:r>
        <w:rPr>
          <w:rFonts w:hint="eastAsia" w:ascii="仿宋" w:hAnsi="仿宋" w:eastAsia="仿宋"/>
          <w:sz w:val="32"/>
          <w:szCs w:val="32"/>
        </w:rPr>
        <w:t>司法实践中，为了让检察官更严格适用不起诉裁量权，在程序设计方面，不起诉程序比起诉程序更加复杂，不仅文书制作上更加繁琐，还存在作出不起诉决定要通过部门讨论，检委办报检委会委员研究决定，听取人民监督员和群众意见，有的案件还需要上报市院审批，不仅在程序上繁琐、时间上消耗，还有组织会议所要经历部门协调等环节，让案件承办人在面对可诉可不诉案件时，不愿耗费更多的精力，而倾向对犯罪嫌疑人提起公诉。</w:t>
      </w:r>
    </w:p>
    <w:p>
      <w:pPr>
        <w:ind w:firstLine="643" w:firstLineChars="200"/>
        <w:rPr>
          <w:rFonts w:ascii="仿宋" w:hAnsi="仿宋" w:eastAsia="仿宋"/>
          <w:sz w:val="32"/>
          <w:szCs w:val="32"/>
        </w:rPr>
      </w:pPr>
      <w:r>
        <w:rPr>
          <w:rFonts w:hint="eastAsia" w:ascii="仿宋" w:hAnsi="仿宋" w:eastAsia="仿宋"/>
          <w:b/>
          <w:sz w:val="32"/>
          <w:szCs w:val="32"/>
        </w:rPr>
        <w:t>3.不起诉监督体制的不健全，司法人员存在“不规范”适用不起诉裁量权。</w:t>
      </w:r>
      <w:r>
        <w:rPr>
          <w:rFonts w:hint="eastAsia" w:ascii="仿宋" w:hAnsi="仿宋" w:eastAsia="仿宋"/>
          <w:sz w:val="32"/>
          <w:szCs w:val="32"/>
        </w:rPr>
        <w:t>长期以来，我们一直在进行对不起诉裁量权的监督制约探索，分为外部监督和内部监督，司法实践中，针对内部监督我们探索了很多模式，比如将不起诉案件提请检委会研究、报上一级检察院研究等等，虽然有着一定的成效，但是我们也看到，这种检察系统内部的监督由于监督主体的特殊性并不能完全保证公正客观性，在我们目前针对外部监督中采取的人民监督员监督模式中，由于监督员是检察院聘任的且人民监督员的法律素养等方面不能完全满足监督需求，故使得外部监督效力不强。监督体制的不健全，导致不起诉裁量权的适用存在不规范现象。部分案件在犯罪事实及情节相似情况下，由于统一标准的缺失以及承办人的认识不同，存在罪与非罪的分歧，有的案件作出不起诉处理，有的案件法院判处拘役或拘役缓刑或单处罚金，这样的处理在一定程度上体现了执法的不规范，也造成了司法资源的浪费。</w:t>
      </w:r>
    </w:p>
    <w:p>
      <w:pPr>
        <w:ind w:firstLine="643" w:firstLineChars="200"/>
        <w:rPr>
          <w:rFonts w:ascii="仿宋" w:hAnsi="仿宋" w:eastAsia="仿宋"/>
          <w:sz w:val="32"/>
          <w:szCs w:val="32"/>
        </w:rPr>
      </w:pPr>
      <w:r>
        <w:rPr>
          <w:rFonts w:hint="eastAsia" w:ascii="仿宋" w:hAnsi="仿宋" w:eastAsia="仿宋"/>
          <w:b/>
          <w:sz w:val="32"/>
          <w:szCs w:val="32"/>
        </w:rPr>
        <w:t>4.不起诉说理及案件后续处理情况未得到重视，不起诉效果体现“不充分”。</w:t>
      </w:r>
      <w:r>
        <w:rPr>
          <w:rFonts w:hint="eastAsia" w:ascii="仿宋" w:hAnsi="仿宋" w:eastAsia="仿宋"/>
          <w:sz w:val="32"/>
          <w:szCs w:val="32"/>
        </w:rPr>
        <w:t>《关于刑事案件不起诉、不抗诉答疑说理的工作规则》中对不起诉答疑说理作出明确要求，要求做到法理准确、事理充分、情理到位，以理服人，语言要规范、逻辑严密、说理透彻、通俗易懂，以达到认识统一、化解矛盾纠纷，促进社会和谐的目的。但司法实践中，不起诉理由说明流于形式，通常存在不制作或少制作不起诉理由说明书、说理过于简单、未阐述犯罪事实以及未适用法律条款等制作不规范问题，既不符合文书相关要求，更不能实现透彻的释法教育功效。此外，未能对不起诉各类案件后续及时跟踪，包括存疑不起诉案件能否按照检察机关补充侦查提纲补充证据到位再起诉，相对不起诉、绝对不起诉案件被不起诉人在对其不起诉，解除强制措施后相关行政部门是否有行政处罚措施，目前无监管机制，不起诉后的三个效果体现不充分。</w:t>
      </w:r>
    </w:p>
    <w:p>
      <w:pPr>
        <w:ind w:firstLine="643" w:firstLineChars="200"/>
        <w:rPr>
          <w:rFonts w:ascii="仿宋" w:hAnsi="仿宋" w:eastAsia="仿宋"/>
          <w:b/>
          <w:sz w:val="32"/>
          <w:szCs w:val="32"/>
        </w:rPr>
      </w:pPr>
      <w:r>
        <w:rPr>
          <w:rFonts w:hint="eastAsia" w:ascii="仿宋" w:hAnsi="仿宋" w:eastAsia="仿宋"/>
          <w:b/>
          <w:sz w:val="32"/>
          <w:szCs w:val="32"/>
        </w:rPr>
        <w:t>四、针对规范适用不起诉裁量权的建议</w:t>
      </w:r>
    </w:p>
    <w:p>
      <w:pPr>
        <w:ind w:firstLine="640" w:firstLineChars="200"/>
        <w:rPr>
          <w:rFonts w:ascii="仿宋" w:hAnsi="仿宋" w:eastAsia="仿宋"/>
          <w:sz w:val="32"/>
          <w:szCs w:val="32"/>
        </w:rPr>
      </w:pPr>
      <w:r>
        <w:rPr>
          <w:rFonts w:hint="eastAsia" w:ascii="仿宋" w:hAnsi="仿宋" w:eastAsia="仿宋"/>
          <w:sz w:val="32"/>
          <w:szCs w:val="32"/>
        </w:rPr>
        <w:t>司法体制改革以来，如何找准检察机关角色定位，规范适用不起诉裁量权，是聚焦检察主责主业的重要课题，也是实现司法公正、体现检察价值的应有之义。对此，应在实践中做好以下几点：</w:t>
      </w:r>
    </w:p>
    <w:p>
      <w:pPr>
        <w:ind w:firstLine="643" w:firstLineChars="200"/>
        <w:rPr>
          <w:rFonts w:ascii="仿宋" w:hAnsi="仿宋" w:eastAsia="仿宋"/>
          <w:sz w:val="32"/>
          <w:szCs w:val="32"/>
        </w:rPr>
      </w:pPr>
      <w:r>
        <w:rPr>
          <w:rFonts w:hint="eastAsia" w:ascii="仿宋" w:hAnsi="仿宋" w:eastAsia="仿宋"/>
          <w:b/>
          <w:sz w:val="32"/>
          <w:szCs w:val="32"/>
        </w:rPr>
        <w:t>1．建立拟不起诉案件的内外部意见听取和反馈机制。</w:t>
      </w:r>
      <w:r>
        <w:rPr>
          <w:rFonts w:hint="eastAsia" w:ascii="仿宋" w:hAnsi="仿宋" w:eastAsia="仿宋"/>
          <w:sz w:val="32"/>
          <w:szCs w:val="32"/>
        </w:rPr>
        <w:t>通过这一机制既能强化内外部监督又能为承办人提供支持和参考意见。可以将不起诉公开审查范围扩大为针对实践中出现的存在重大分歧和社会反响强烈的即将作出不起诉决定的案件。它的核心在于检察机关针对是否应当起诉，充分听取侦查机关和其他具有独立地位的参与人及其委托人的意见，最后作出决定。决定的作出是基于程序正当作出，具有合理的理由，具有很高的透明度，避免了暗箱操作，侦查机关以及其他利害相关人对最后的结果更容易接受，避免了复议复核以及申诉所消耗的司法成本，体现了诉讼经济；另一方面，相关案件事实和法律程序为公众知晓，最大限度的避免了检察机关不合理行使裁量权的机会，防止了检察权的滥用。</w:t>
      </w:r>
    </w:p>
    <w:p>
      <w:pPr>
        <w:ind w:firstLine="640" w:firstLineChars="200"/>
        <w:rPr>
          <w:rFonts w:ascii="仿宋" w:hAnsi="仿宋" w:eastAsia="仿宋"/>
          <w:sz w:val="32"/>
          <w:szCs w:val="32"/>
        </w:rPr>
      </w:pPr>
      <w:r>
        <w:rPr>
          <w:rFonts w:hint="eastAsia" w:ascii="仿宋" w:hAnsi="仿宋" w:eastAsia="仿宋"/>
          <w:sz w:val="32"/>
          <w:szCs w:val="32"/>
        </w:rPr>
        <w:t>在公开审查过程中，作为内部监督部门的案件管理部门应做好全程参与工作，做好案件每个环节的流程监控以及案件质量把关，并将公开审查听证中反馈的意见进行整合成评估意见，作为不起诉案件决定依据，做好案件质量把关员。</w:t>
      </w:r>
    </w:p>
    <w:p>
      <w:pPr>
        <w:ind w:firstLine="643" w:firstLineChars="200"/>
        <w:rPr>
          <w:rFonts w:ascii="仿宋" w:hAnsi="仿宋" w:eastAsia="仿宋"/>
          <w:sz w:val="32"/>
          <w:szCs w:val="32"/>
        </w:rPr>
      </w:pPr>
      <w:r>
        <w:rPr>
          <w:rFonts w:hint="eastAsia" w:ascii="仿宋" w:hAnsi="仿宋" w:eastAsia="仿宋"/>
          <w:b/>
          <w:sz w:val="32"/>
          <w:szCs w:val="32"/>
        </w:rPr>
        <w:t>2.适当扩大范围，提高相对不起诉适用率。</w:t>
      </w:r>
      <w:r>
        <w:rPr>
          <w:rFonts w:hint="eastAsia" w:ascii="仿宋" w:hAnsi="仿宋" w:eastAsia="仿宋"/>
          <w:sz w:val="32"/>
          <w:szCs w:val="32"/>
        </w:rPr>
        <w:t>针对案件承办人检察人员“不敢”适用不起诉裁量权的问题，可以通过考评适当加大检察机关的自由裁量权，扩大其作出相对不起诉决定的范围。对此，可以将适用相对不起诉的适用条件进行整合，进行探索。</w:t>
      </w:r>
    </w:p>
    <w:p>
      <w:pPr>
        <w:ind w:firstLine="640" w:firstLineChars="200"/>
        <w:rPr>
          <w:rFonts w:ascii="仿宋" w:hAnsi="仿宋" w:eastAsia="仿宋"/>
          <w:sz w:val="32"/>
          <w:szCs w:val="32"/>
        </w:rPr>
      </w:pPr>
      <w:r>
        <w:rPr>
          <w:rFonts w:hint="eastAsia" w:ascii="仿宋" w:hAnsi="仿宋" w:eastAsia="仿宋"/>
          <w:sz w:val="32"/>
          <w:szCs w:val="32"/>
        </w:rPr>
        <w:t>一是针对无起诉必要情形的规定，把“犯罪情节轻微”与“刑法规定不需要判处刑罚”两个条件相结合为一条独立规则进行理解。这种情况已没有起诉的必要，可以作出不起诉决定。</w:t>
      </w:r>
    </w:p>
    <w:p>
      <w:pPr>
        <w:ind w:firstLine="640" w:firstLineChars="200"/>
        <w:rPr>
          <w:rFonts w:ascii="仿宋" w:hAnsi="仿宋" w:eastAsia="仿宋"/>
          <w:sz w:val="32"/>
          <w:szCs w:val="32"/>
        </w:rPr>
      </w:pPr>
      <w:r>
        <w:rPr>
          <w:rFonts w:hint="eastAsia" w:ascii="仿宋" w:hAnsi="仿宋" w:eastAsia="仿宋"/>
          <w:sz w:val="32"/>
          <w:szCs w:val="32"/>
        </w:rPr>
        <w:t>二是针对符合公共利益情形的规定，把“犯罪情节较轻”与“对犯罪嫌疑人进行综合考量，对其作不起诉决定符合公共利益的。”检察机关在审查这类案件时，应对犯罪嫌疑人进行多方面的考察，如性格、年龄以及日常行为等因素，最终作出合理的决定。这里的犯罪情节是“较轻”，而非“轻微”，说明按照刑法规定，属于构成犯罪但考虑特定情节后作出不起诉处理。这种立法规定主要是考虑到犯罪嫌疑人主体的特殊性、社会危害性以及公共利益等方面。</w:t>
      </w:r>
    </w:p>
    <w:p>
      <w:pPr>
        <w:ind w:firstLine="640" w:firstLineChars="200"/>
        <w:rPr>
          <w:rFonts w:ascii="仿宋" w:hAnsi="仿宋" w:eastAsia="仿宋"/>
          <w:sz w:val="32"/>
          <w:szCs w:val="32"/>
        </w:rPr>
      </w:pPr>
      <w:r>
        <w:rPr>
          <w:rFonts w:hint="eastAsia" w:ascii="仿宋" w:hAnsi="仿宋" w:eastAsia="仿宋"/>
          <w:sz w:val="32"/>
          <w:szCs w:val="32"/>
        </w:rPr>
        <w:t>三是针对免除刑罚情形的规定，把“犯罪情节较轻”与“具有免除刑罚情节的，综合考虑被害人恢复情况，对其作不起诉决定更符合公共利益。”结合为一个条件，倾向于刑事和解不诉适用规则。这种规定需要参照被害人恢复情况和公共利益。被害人恢复情况包括：犯罪嫌疑人否积极主动赔偿被害损失、是否已达成和解、是否已弥补损失等。</w:t>
      </w:r>
    </w:p>
    <w:p>
      <w:pPr>
        <w:ind w:firstLine="643" w:firstLineChars="200"/>
        <w:rPr>
          <w:rFonts w:ascii="仿宋" w:hAnsi="仿宋" w:eastAsia="仿宋"/>
          <w:sz w:val="32"/>
          <w:szCs w:val="32"/>
        </w:rPr>
      </w:pPr>
      <w:r>
        <w:rPr>
          <w:rFonts w:hint="eastAsia" w:ascii="仿宋" w:hAnsi="仿宋" w:eastAsia="仿宋"/>
          <w:b/>
          <w:sz w:val="32"/>
          <w:szCs w:val="32"/>
        </w:rPr>
        <w:t>3.做好不起诉说理工作，充分发挥不起诉的惩戒教育功能。</w:t>
      </w:r>
      <w:r>
        <w:rPr>
          <w:rFonts w:hint="eastAsia" w:ascii="仿宋" w:hAnsi="仿宋" w:eastAsia="仿宋"/>
          <w:sz w:val="32"/>
          <w:szCs w:val="32"/>
        </w:rPr>
        <w:t>案件作出不起诉决定后，如何有效开展释法说理、加强对被不起诉人的法律教育是也是检察机关能否充分履行检察职能的重要体现，对此有以下几点建议：</w:t>
      </w:r>
    </w:p>
    <w:p>
      <w:pPr>
        <w:ind w:firstLine="640" w:firstLineChars="200"/>
        <w:rPr>
          <w:rFonts w:ascii="仿宋" w:hAnsi="仿宋" w:eastAsia="仿宋"/>
          <w:sz w:val="32"/>
          <w:szCs w:val="32"/>
        </w:rPr>
      </w:pPr>
      <w:r>
        <w:rPr>
          <w:rFonts w:hint="eastAsia" w:ascii="仿宋" w:hAnsi="仿宋" w:eastAsia="仿宋"/>
          <w:sz w:val="32"/>
          <w:szCs w:val="32"/>
        </w:rPr>
        <w:t>一是结合“释法说理”要求，适当对不起诉决定书等相关文书进行修改，完善文书的形式和内容。对各类不起诉案件说理中应列明: 作出处理决定的法律依据是什么，该决定所依据的事实有哪些，证据采信的标准是什么等等，力求做到说理内容全面、充分、透彻，说理形式科学合理、风格平实明快，只有如此，才能充分法律文书的教育功能；二是通过建立健全考核激励机制，将“释法说理”能力作为评判检察人员业务素质的重要标准，强化综合业务能力。如探索司法文书制作者署名制度，以增强检察人员的职业责任心和职业荣誉感，完善司法文书公开制度，将合理范围内的司法文书分别或同时公开，保证公众对检察工作的知情权，方便对司法文书的内外监督;还可考虑建立健全司法文书和群众工作说理情况的评估考核机制，定期评选表彰优秀司法文书，进一步加强鼓励和引导。</w:t>
      </w:r>
    </w:p>
    <w:p>
      <w:pPr>
        <w:ind w:firstLine="643" w:firstLineChars="200"/>
        <w:rPr>
          <w:rFonts w:ascii="仿宋" w:hAnsi="仿宋" w:eastAsia="仿宋"/>
          <w:color w:val="FF0000"/>
          <w:sz w:val="32"/>
          <w:szCs w:val="32"/>
        </w:rPr>
      </w:pPr>
      <w:r>
        <w:rPr>
          <w:rFonts w:hint="eastAsia" w:ascii="仿宋" w:hAnsi="仿宋" w:eastAsia="仿宋"/>
          <w:b/>
          <w:sz w:val="32"/>
          <w:szCs w:val="32"/>
        </w:rPr>
        <w:t>4、强化各类不起诉后续监管工作，提高不起诉案件办理质效。</w:t>
      </w:r>
    </w:p>
    <w:p>
      <w:pPr>
        <w:ind w:firstLine="640" w:firstLineChars="200"/>
        <w:rPr>
          <w:rFonts w:ascii="仿宋" w:hAnsi="仿宋" w:eastAsia="仿宋"/>
          <w:sz w:val="32"/>
          <w:szCs w:val="32"/>
        </w:rPr>
      </w:pPr>
      <w:r>
        <w:rPr>
          <w:rFonts w:hint="eastAsia" w:ascii="仿宋" w:hAnsi="仿宋" w:eastAsia="仿宋"/>
          <w:sz w:val="32"/>
          <w:szCs w:val="32"/>
        </w:rPr>
        <w:t>针对相对不起诉、绝对不起诉案件，检察机关应监督侦查机关合法执行，及时解除取保候审，终结诉讼程序；同时与行政执法机关及时对接，保证不起诉决定之外的应当执行的行政处罚到位，实现社会效果与法律效果的统一。</w:t>
      </w:r>
    </w:p>
    <w:p>
      <w:pPr>
        <w:ind w:firstLine="640" w:firstLineChars="200"/>
        <w:rPr>
          <w:rFonts w:ascii="仿宋" w:hAnsi="仿宋" w:eastAsia="仿宋"/>
          <w:color w:val="FF0000"/>
          <w:sz w:val="32"/>
          <w:szCs w:val="32"/>
        </w:rPr>
      </w:pPr>
      <w:r>
        <w:rPr>
          <w:rFonts w:hint="eastAsia" w:ascii="仿宋" w:hAnsi="仿宋" w:eastAsia="仿宋"/>
          <w:sz w:val="32"/>
          <w:szCs w:val="32"/>
        </w:rPr>
        <w:t>针对存疑不起诉案件，一是加强对侦查活动的监督，针对实践中侦查人员为了应对考核机制，在搜集证据采取不规范手段，导致证据的合法性和效率受到影响，检察机关应当加强审查监督机制，防止侦查权的滥用；二是提高再起诉程序质效，为了防止侦查机关对存疑不起诉案件的怠于侦查，应当在立法中明确规定再次移送起诉程序，同时加强监督。应明确设立独立的补查程序，设立侦查期限，明确各方责任，推动侦查机关积极补充侦查，进行后续处理；同时规范案卷材料交接程序。检察机关在向公安机关送达不起诉书的同时，应当向其移送案卷材料，让侦查机关更好的了解、掌握和保存相关证据，及时的作出补充侦查，实现刑罚目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253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A12C6"/>
    <w:multiLevelType w:val="multilevel"/>
    <w:tmpl w:val="7D1A12C6"/>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D1"/>
    <w:rsid w:val="00000791"/>
    <w:rsid w:val="000025FC"/>
    <w:rsid w:val="00007EA5"/>
    <w:rsid w:val="00012465"/>
    <w:rsid w:val="00012A2F"/>
    <w:rsid w:val="00012CF5"/>
    <w:rsid w:val="000140D3"/>
    <w:rsid w:val="00014215"/>
    <w:rsid w:val="000144F1"/>
    <w:rsid w:val="0001528B"/>
    <w:rsid w:val="000162C7"/>
    <w:rsid w:val="00016729"/>
    <w:rsid w:val="000208B3"/>
    <w:rsid w:val="00021772"/>
    <w:rsid w:val="00022F22"/>
    <w:rsid w:val="000238DD"/>
    <w:rsid w:val="00024836"/>
    <w:rsid w:val="00024923"/>
    <w:rsid w:val="00031869"/>
    <w:rsid w:val="000327B1"/>
    <w:rsid w:val="00032BA8"/>
    <w:rsid w:val="00032E87"/>
    <w:rsid w:val="00033367"/>
    <w:rsid w:val="00034793"/>
    <w:rsid w:val="00036866"/>
    <w:rsid w:val="00036924"/>
    <w:rsid w:val="00036E61"/>
    <w:rsid w:val="00040200"/>
    <w:rsid w:val="000416CB"/>
    <w:rsid w:val="00041BED"/>
    <w:rsid w:val="00042B6F"/>
    <w:rsid w:val="000431D3"/>
    <w:rsid w:val="0004451E"/>
    <w:rsid w:val="00044B85"/>
    <w:rsid w:val="000452F3"/>
    <w:rsid w:val="00045587"/>
    <w:rsid w:val="000468EB"/>
    <w:rsid w:val="00050575"/>
    <w:rsid w:val="000514BA"/>
    <w:rsid w:val="0005287B"/>
    <w:rsid w:val="00052D16"/>
    <w:rsid w:val="00053A97"/>
    <w:rsid w:val="00054455"/>
    <w:rsid w:val="00054682"/>
    <w:rsid w:val="00054EC4"/>
    <w:rsid w:val="00055B3E"/>
    <w:rsid w:val="00056A99"/>
    <w:rsid w:val="000577AB"/>
    <w:rsid w:val="00060696"/>
    <w:rsid w:val="000632FB"/>
    <w:rsid w:val="00063689"/>
    <w:rsid w:val="0006472D"/>
    <w:rsid w:val="00065DD6"/>
    <w:rsid w:val="0006602B"/>
    <w:rsid w:val="00066571"/>
    <w:rsid w:val="00067150"/>
    <w:rsid w:val="0007195A"/>
    <w:rsid w:val="00073571"/>
    <w:rsid w:val="0007583A"/>
    <w:rsid w:val="0007634A"/>
    <w:rsid w:val="0008085D"/>
    <w:rsid w:val="00082431"/>
    <w:rsid w:val="0008245D"/>
    <w:rsid w:val="0008316D"/>
    <w:rsid w:val="000845CD"/>
    <w:rsid w:val="000848D7"/>
    <w:rsid w:val="00084A44"/>
    <w:rsid w:val="00086621"/>
    <w:rsid w:val="00087E32"/>
    <w:rsid w:val="00093978"/>
    <w:rsid w:val="0009436F"/>
    <w:rsid w:val="00096988"/>
    <w:rsid w:val="000A19D5"/>
    <w:rsid w:val="000A1E0E"/>
    <w:rsid w:val="000A4CDF"/>
    <w:rsid w:val="000A6B3E"/>
    <w:rsid w:val="000A7142"/>
    <w:rsid w:val="000A7304"/>
    <w:rsid w:val="000B0EB8"/>
    <w:rsid w:val="000B1A2C"/>
    <w:rsid w:val="000B46D8"/>
    <w:rsid w:val="000B5148"/>
    <w:rsid w:val="000B5249"/>
    <w:rsid w:val="000B529D"/>
    <w:rsid w:val="000B6072"/>
    <w:rsid w:val="000B64D7"/>
    <w:rsid w:val="000B6526"/>
    <w:rsid w:val="000B7838"/>
    <w:rsid w:val="000B79E3"/>
    <w:rsid w:val="000C0B01"/>
    <w:rsid w:val="000C1CBE"/>
    <w:rsid w:val="000C291D"/>
    <w:rsid w:val="000C4A77"/>
    <w:rsid w:val="000C4D02"/>
    <w:rsid w:val="000C54DD"/>
    <w:rsid w:val="000C6FD0"/>
    <w:rsid w:val="000C77BA"/>
    <w:rsid w:val="000D191F"/>
    <w:rsid w:val="000D6312"/>
    <w:rsid w:val="000D6C95"/>
    <w:rsid w:val="000E0B3E"/>
    <w:rsid w:val="000E30BC"/>
    <w:rsid w:val="000E3771"/>
    <w:rsid w:val="000E57EA"/>
    <w:rsid w:val="000E7466"/>
    <w:rsid w:val="000E7ACE"/>
    <w:rsid w:val="000F2D56"/>
    <w:rsid w:val="000F582F"/>
    <w:rsid w:val="00100C16"/>
    <w:rsid w:val="00103AD8"/>
    <w:rsid w:val="00106382"/>
    <w:rsid w:val="001073AD"/>
    <w:rsid w:val="0011061B"/>
    <w:rsid w:val="00110AC3"/>
    <w:rsid w:val="00111A1A"/>
    <w:rsid w:val="00112511"/>
    <w:rsid w:val="0011476D"/>
    <w:rsid w:val="00115031"/>
    <w:rsid w:val="001202B5"/>
    <w:rsid w:val="001222A1"/>
    <w:rsid w:val="001222B7"/>
    <w:rsid w:val="00131A2A"/>
    <w:rsid w:val="00132ECA"/>
    <w:rsid w:val="00133957"/>
    <w:rsid w:val="001344CF"/>
    <w:rsid w:val="00135F9C"/>
    <w:rsid w:val="001415B2"/>
    <w:rsid w:val="00141AED"/>
    <w:rsid w:val="001424BE"/>
    <w:rsid w:val="001443D4"/>
    <w:rsid w:val="001444C7"/>
    <w:rsid w:val="0014560F"/>
    <w:rsid w:val="00145D3A"/>
    <w:rsid w:val="0014758C"/>
    <w:rsid w:val="00150F3D"/>
    <w:rsid w:val="00151807"/>
    <w:rsid w:val="00152A30"/>
    <w:rsid w:val="00155D4F"/>
    <w:rsid w:val="00160362"/>
    <w:rsid w:val="00165F3F"/>
    <w:rsid w:val="00165F6E"/>
    <w:rsid w:val="001666DF"/>
    <w:rsid w:val="00166EEE"/>
    <w:rsid w:val="00170B1C"/>
    <w:rsid w:val="00172711"/>
    <w:rsid w:val="001731DB"/>
    <w:rsid w:val="001742DC"/>
    <w:rsid w:val="001752B0"/>
    <w:rsid w:val="001779C6"/>
    <w:rsid w:val="00180C81"/>
    <w:rsid w:val="001840F0"/>
    <w:rsid w:val="00184133"/>
    <w:rsid w:val="00184D94"/>
    <w:rsid w:val="0018538E"/>
    <w:rsid w:val="001915BF"/>
    <w:rsid w:val="00193446"/>
    <w:rsid w:val="00195E7B"/>
    <w:rsid w:val="00196C7A"/>
    <w:rsid w:val="00197E98"/>
    <w:rsid w:val="001A0F94"/>
    <w:rsid w:val="001A1EF2"/>
    <w:rsid w:val="001A2FD1"/>
    <w:rsid w:val="001A553C"/>
    <w:rsid w:val="001A7F0B"/>
    <w:rsid w:val="001B09FD"/>
    <w:rsid w:val="001B0BDC"/>
    <w:rsid w:val="001B11D2"/>
    <w:rsid w:val="001B46D1"/>
    <w:rsid w:val="001C0ACA"/>
    <w:rsid w:val="001C11DC"/>
    <w:rsid w:val="001C1236"/>
    <w:rsid w:val="001C4075"/>
    <w:rsid w:val="001C44B5"/>
    <w:rsid w:val="001C472C"/>
    <w:rsid w:val="001C5ACB"/>
    <w:rsid w:val="001C62F3"/>
    <w:rsid w:val="001D0069"/>
    <w:rsid w:val="001D02EE"/>
    <w:rsid w:val="001D05D8"/>
    <w:rsid w:val="001D1B24"/>
    <w:rsid w:val="001D3738"/>
    <w:rsid w:val="001D3BCE"/>
    <w:rsid w:val="001D59E4"/>
    <w:rsid w:val="001E15DD"/>
    <w:rsid w:val="001E22A1"/>
    <w:rsid w:val="001E7C7E"/>
    <w:rsid w:val="001F221A"/>
    <w:rsid w:val="001F2BC1"/>
    <w:rsid w:val="001F4014"/>
    <w:rsid w:val="001F4860"/>
    <w:rsid w:val="001F48B8"/>
    <w:rsid w:val="001F5034"/>
    <w:rsid w:val="00200281"/>
    <w:rsid w:val="002002AD"/>
    <w:rsid w:val="002039ED"/>
    <w:rsid w:val="00203D8A"/>
    <w:rsid w:val="0020570B"/>
    <w:rsid w:val="002068B5"/>
    <w:rsid w:val="0021413F"/>
    <w:rsid w:val="00216153"/>
    <w:rsid w:val="002206C1"/>
    <w:rsid w:val="00222237"/>
    <w:rsid w:val="0022456F"/>
    <w:rsid w:val="0022632B"/>
    <w:rsid w:val="00227B3D"/>
    <w:rsid w:val="002304E3"/>
    <w:rsid w:val="0023064E"/>
    <w:rsid w:val="002331F3"/>
    <w:rsid w:val="0023639F"/>
    <w:rsid w:val="002368FE"/>
    <w:rsid w:val="00241AA7"/>
    <w:rsid w:val="00244828"/>
    <w:rsid w:val="00247CCD"/>
    <w:rsid w:val="00252A57"/>
    <w:rsid w:val="00255523"/>
    <w:rsid w:val="002557ED"/>
    <w:rsid w:val="00255CCF"/>
    <w:rsid w:val="00257D6A"/>
    <w:rsid w:val="00260549"/>
    <w:rsid w:val="00262172"/>
    <w:rsid w:val="00264DC5"/>
    <w:rsid w:val="00270929"/>
    <w:rsid w:val="002725B2"/>
    <w:rsid w:val="0027280A"/>
    <w:rsid w:val="00272BFF"/>
    <w:rsid w:val="00276FCF"/>
    <w:rsid w:val="002816E8"/>
    <w:rsid w:val="00282AA0"/>
    <w:rsid w:val="00282AC5"/>
    <w:rsid w:val="00286FCB"/>
    <w:rsid w:val="00287818"/>
    <w:rsid w:val="00291271"/>
    <w:rsid w:val="00291472"/>
    <w:rsid w:val="00291C26"/>
    <w:rsid w:val="00293DD5"/>
    <w:rsid w:val="0029559C"/>
    <w:rsid w:val="002967D4"/>
    <w:rsid w:val="00296926"/>
    <w:rsid w:val="0029713B"/>
    <w:rsid w:val="002A2F29"/>
    <w:rsid w:val="002A3CE2"/>
    <w:rsid w:val="002A4103"/>
    <w:rsid w:val="002A6276"/>
    <w:rsid w:val="002B390F"/>
    <w:rsid w:val="002B437F"/>
    <w:rsid w:val="002B47F4"/>
    <w:rsid w:val="002B63C9"/>
    <w:rsid w:val="002B6421"/>
    <w:rsid w:val="002B6BB7"/>
    <w:rsid w:val="002B7B84"/>
    <w:rsid w:val="002C15CE"/>
    <w:rsid w:val="002C3569"/>
    <w:rsid w:val="002C410C"/>
    <w:rsid w:val="002C5EA3"/>
    <w:rsid w:val="002C6278"/>
    <w:rsid w:val="002C64A8"/>
    <w:rsid w:val="002C6DF8"/>
    <w:rsid w:val="002D377E"/>
    <w:rsid w:val="002D37F2"/>
    <w:rsid w:val="002D4D8A"/>
    <w:rsid w:val="002D6849"/>
    <w:rsid w:val="002D69A5"/>
    <w:rsid w:val="002E08A3"/>
    <w:rsid w:val="002E24BA"/>
    <w:rsid w:val="002E32D2"/>
    <w:rsid w:val="002E586E"/>
    <w:rsid w:val="002E7420"/>
    <w:rsid w:val="002F08F2"/>
    <w:rsid w:val="002F14E0"/>
    <w:rsid w:val="002F15C5"/>
    <w:rsid w:val="002F3135"/>
    <w:rsid w:val="002F318D"/>
    <w:rsid w:val="002F5717"/>
    <w:rsid w:val="002F65C2"/>
    <w:rsid w:val="002F70E0"/>
    <w:rsid w:val="003007EA"/>
    <w:rsid w:val="00300A6F"/>
    <w:rsid w:val="00303D8B"/>
    <w:rsid w:val="00304B73"/>
    <w:rsid w:val="00310016"/>
    <w:rsid w:val="00310CA3"/>
    <w:rsid w:val="003113A6"/>
    <w:rsid w:val="00314679"/>
    <w:rsid w:val="00321A63"/>
    <w:rsid w:val="00321C83"/>
    <w:rsid w:val="0032336C"/>
    <w:rsid w:val="00324A6B"/>
    <w:rsid w:val="00324E75"/>
    <w:rsid w:val="003277EF"/>
    <w:rsid w:val="00331234"/>
    <w:rsid w:val="003316D6"/>
    <w:rsid w:val="0033348E"/>
    <w:rsid w:val="00333A2F"/>
    <w:rsid w:val="00334673"/>
    <w:rsid w:val="00335EC3"/>
    <w:rsid w:val="00337098"/>
    <w:rsid w:val="003375DA"/>
    <w:rsid w:val="00337C20"/>
    <w:rsid w:val="00340121"/>
    <w:rsid w:val="00340C7C"/>
    <w:rsid w:val="00341240"/>
    <w:rsid w:val="00342F7C"/>
    <w:rsid w:val="0034307B"/>
    <w:rsid w:val="0034318C"/>
    <w:rsid w:val="003439A5"/>
    <w:rsid w:val="00343B62"/>
    <w:rsid w:val="0034495C"/>
    <w:rsid w:val="003501F2"/>
    <w:rsid w:val="00351F3F"/>
    <w:rsid w:val="00352EEF"/>
    <w:rsid w:val="003557C2"/>
    <w:rsid w:val="00355FA2"/>
    <w:rsid w:val="003560B1"/>
    <w:rsid w:val="0035781D"/>
    <w:rsid w:val="003605AC"/>
    <w:rsid w:val="00361948"/>
    <w:rsid w:val="00363F29"/>
    <w:rsid w:val="00364C59"/>
    <w:rsid w:val="00365DAD"/>
    <w:rsid w:val="00371F0F"/>
    <w:rsid w:val="0037241C"/>
    <w:rsid w:val="003773EA"/>
    <w:rsid w:val="003803A6"/>
    <w:rsid w:val="0038086E"/>
    <w:rsid w:val="00381C77"/>
    <w:rsid w:val="003820BF"/>
    <w:rsid w:val="00391494"/>
    <w:rsid w:val="003935AD"/>
    <w:rsid w:val="00393ECD"/>
    <w:rsid w:val="00395977"/>
    <w:rsid w:val="003A23D9"/>
    <w:rsid w:val="003A37BF"/>
    <w:rsid w:val="003A56E6"/>
    <w:rsid w:val="003A6DCA"/>
    <w:rsid w:val="003B027B"/>
    <w:rsid w:val="003B30DE"/>
    <w:rsid w:val="003B37CC"/>
    <w:rsid w:val="003B3CFC"/>
    <w:rsid w:val="003B4CD5"/>
    <w:rsid w:val="003B612C"/>
    <w:rsid w:val="003B7067"/>
    <w:rsid w:val="003B714A"/>
    <w:rsid w:val="003B7476"/>
    <w:rsid w:val="003B7B54"/>
    <w:rsid w:val="003C0673"/>
    <w:rsid w:val="003C0CD5"/>
    <w:rsid w:val="003C140D"/>
    <w:rsid w:val="003C24EF"/>
    <w:rsid w:val="003C2882"/>
    <w:rsid w:val="003C319A"/>
    <w:rsid w:val="003C33F0"/>
    <w:rsid w:val="003C5DB7"/>
    <w:rsid w:val="003D073C"/>
    <w:rsid w:val="003D34F8"/>
    <w:rsid w:val="003D3950"/>
    <w:rsid w:val="003D5C21"/>
    <w:rsid w:val="003E11C0"/>
    <w:rsid w:val="003E18DF"/>
    <w:rsid w:val="003E2264"/>
    <w:rsid w:val="003E4E65"/>
    <w:rsid w:val="003E5A9E"/>
    <w:rsid w:val="003F1C85"/>
    <w:rsid w:val="003F43A5"/>
    <w:rsid w:val="003F4BE5"/>
    <w:rsid w:val="003F4C3B"/>
    <w:rsid w:val="003F4E2E"/>
    <w:rsid w:val="003F6C01"/>
    <w:rsid w:val="0040155C"/>
    <w:rsid w:val="00401973"/>
    <w:rsid w:val="00402559"/>
    <w:rsid w:val="004032D7"/>
    <w:rsid w:val="00404C62"/>
    <w:rsid w:val="0040586C"/>
    <w:rsid w:val="00405BB4"/>
    <w:rsid w:val="00405E5E"/>
    <w:rsid w:val="00406C6E"/>
    <w:rsid w:val="00410002"/>
    <w:rsid w:val="004120A2"/>
    <w:rsid w:val="00412B42"/>
    <w:rsid w:val="00412C88"/>
    <w:rsid w:val="00413B33"/>
    <w:rsid w:val="0042056C"/>
    <w:rsid w:val="00420C9A"/>
    <w:rsid w:val="00421237"/>
    <w:rsid w:val="0042157A"/>
    <w:rsid w:val="00423157"/>
    <w:rsid w:val="004236C4"/>
    <w:rsid w:val="00423FF3"/>
    <w:rsid w:val="00430663"/>
    <w:rsid w:val="004307CF"/>
    <w:rsid w:val="00431529"/>
    <w:rsid w:val="0043187B"/>
    <w:rsid w:val="004348C0"/>
    <w:rsid w:val="004411D7"/>
    <w:rsid w:val="004438E4"/>
    <w:rsid w:val="004462B6"/>
    <w:rsid w:val="004539C9"/>
    <w:rsid w:val="00454392"/>
    <w:rsid w:val="004563E9"/>
    <w:rsid w:val="00456436"/>
    <w:rsid w:val="004605DA"/>
    <w:rsid w:val="004613F9"/>
    <w:rsid w:val="00463506"/>
    <w:rsid w:val="00463732"/>
    <w:rsid w:val="00463894"/>
    <w:rsid w:val="00463B02"/>
    <w:rsid w:val="0046451F"/>
    <w:rsid w:val="004647F9"/>
    <w:rsid w:val="00464E3A"/>
    <w:rsid w:val="00465110"/>
    <w:rsid w:val="00465406"/>
    <w:rsid w:val="00470441"/>
    <w:rsid w:val="0047485F"/>
    <w:rsid w:val="004818CB"/>
    <w:rsid w:val="0048418B"/>
    <w:rsid w:val="00484BBD"/>
    <w:rsid w:val="004850E7"/>
    <w:rsid w:val="004851DC"/>
    <w:rsid w:val="00485E5E"/>
    <w:rsid w:val="0048681E"/>
    <w:rsid w:val="004904EB"/>
    <w:rsid w:val="00490EC5"/>
    <w:rsid w:val="00493772"/>
    <w:rsid w:val="00493DB8"/>
    <w:rsid w:val="00495860"/>
    <w:rsid w:val="0049650A"/>
    <w:rsid w:val="004A10A8"/>
    <w:rsid w:val="004A1EDB"/>
    <w:rsid w:val="004A42F2"/>
    <w:rsid w:val="004A4F73"/>
    <w:rsid w:val="004A4F9A"/>
    <w:rsid w:val="004A664C"/>
    <w:rsid w:val="004A6D6A"/>
    <w:rsid w:val="004B3379"/>
    <w:rsid w:val="004B5B40"/>
    <w:rsid w:val="004B5B68"/>
    <w:rsid w:val="004C2BC2"/>
    <w:rsid w:val="004C3CE4"/>
    <w:rsid w:val="004C3FAE"/>
    <w:rsid w:val="004C3FB8"/>
    <w:rsid w:val="004C5ECA"/>
    <w:rsid w:val="004C7597"/>
    <w:rsid w:val="004D18D2"/>
    <w:rsid w:val="004D20A1"/>
    <w:rsid w:val="004D2140"/>
    <w:rsid w:val="004D2C52"/>
    <w:rsid w:val="004D4FC7"/>
    <w:rsid w:val="004D6006"/>
    <w:rsid w:val="004D6C44"/>
    <w:rsid w:val="004D71FB"/>
    <w:rsid w:val="004E2E98"/>
    <w:rsid w:val="004E3706"/>
    <w:rsid w:val="004E4B62"/>
    <w:rsid w:val="004E5397"/>
    <w:rsid w:val="004E57A4"/>
    <w:rsid w:val="004E6D50"/>
    <w:rsid w:val="004E7F77"/>
    <w:rsid w:val="004F0EB8"/>
    <w:rsid w:val="004F2A5A"/>
    <w:rsid w:val="004F4650"/>
    <w:rsid w:val="00500973"/>
    <w:rsid w:val="00503062"/>
    <w:rsid w:val="005033DE"/>
    <w:rsid w:val="00503487"/>
    <w:rsid w:val="00503ED6"/>
    <w:rsid w:val="00504714"/>
    <w:rsid w:val="00504B58"/>
    <w:rsid w:val="005054A2"/>
    <w:rsid w:val="00510243"/>
    <w:rsid w:val="00511539"/>
    <w:rsid w:val="00512D19"/>
    <w:rsid w:val="00522572"/>
    <w:rsid w:val="00522C40"/>
    <w:rsid w:val="00522FA3"/>
    <w:rsid w:val="00523221"/>
    <w:rsid w:val="00526CF7"/>
    <w:rsid w:val="0052773C"/>
    <w:rsid w:val="00527E79"/>
    <w:rsid w:val="0053048A"/>
    <w:rsid w:val="00531145"/>
    <w:rsid w:val="00531948"/>
    <w:rsid w:val="0054013F"/>
    <w:rsid w:val="005405FA"/>
    <w:rsid w:val="00543752"/>
    <w:rsid w:val="00543E70"/>
    <w:rsid w:val="005441BE"/>
    <w:rsid w:val="00544E67"/>
    <w:rsid w:val="00545475"/>
    <w:rsid w:val="00546323"/>
    <w:rsid w:val="00546C7A"/>
    <w:rsid w:val="00551A42"/>
    <w:rsid w:val="0055480F"/>
    <w:rsid w:val="0055708C"/>
    <w:rsid w:val="00560925"/>
    <w:rsid w:val="00561AD8"/>
    <w:rsid w:val="005678E5"/>
    <w:rsid w:val="00572F49"/>
    <w:rsid w:val="00573213"/>
    <w:rsid w:val="00573C69"/>
    <w:rsid w:val="00573F9E"/>
    <w:rsid w:val="00574516"/>
    <w:rsid w:val="00575E1F"/>
    <w:rsid w:val="005764AA"/>
    <w:rsid w:val="005818AF"/>
    <w:rsid w:val="0058217B"/>
    <w:rsid w:val="00583A0E"/>
    <w:rsid w:val="00583A5C"/>
    <w:rsid w:val="00585323"/>
    <w:rsid w:val="00585969"/>
    <w:rsid w:val="00586291"/>
    <w:rsid w:val="00591CBE"/>
    <w:rsid w:val="00592EFF"/>
    <w:rsid w:val="00593A06"/>
    <w:rsid w:val="00594519"/>
    <w:rsid w:val="00597429"/>
    <w:rsid w:val="00597DB6"/>
    <w:rsid w:val="005A03B5"/>
    <w:rsid w:val="005A0798"/>
    <w:rsid w:val="005A0E84"/>
    <w:rsid w:val="005A110D"/>
    <w:rsid w:val="005A16D2"/>
    <w:rsid w:val="005A1E5B"/>
    <w:rsid w:val="005A2C14"/>
    <w:rsid w:val="005A51DD"/>
    <w:rsid w:val="005A6483"/>
    <w:rsid w:val="005A7C22"/>
    <w:rsid w:val="005B0620"/>
    <w:rsid w:val="005B1A00"/>
    <w:rsid w:val="005B1E82"/>
    <w:rsid w:val="005B2DA7"/>
    <w:rsid w:val="005B3F34"/>
    <w:rsid w:val="005B609E"/>
    <w:rsid w:val="005B66D1"/>
    <w:rsid w:val="005B6706"/>
    <w:rsid w:val="005C6446"/>
    <w:rsid w:val="005C7360"/>
    <w:rsid w:val="005D1E8A"/>
    <w:rsid w:val="005D274B"/>
    <w:rsid w:val="005D4FFF"/>
    <w:rsid w:val="005D5444"/>
    <w:rsid w:val="005D72B3"/>
    <w:rsid w:val="005E2656"/>
    <w:rsid w:val="005E36D0"/>
    <w:rsid w:val="005E43A7"/>
    <w:rsid w:val="005E7E27"/>
    <w:rsid w:val="005F143E"/>
    <w:rsid w:val="005F159D"/>
    <w:rsid w:val="005F2A09"/>
    <w:rsid w:val="005F3A21"/>
    <w:rsid w:val="005F5D03"/>
    <w:rsid w:val="005F6307"/>
    <w:rsid w:val="0060123F"/>
    <w:rsid w:val="006012F1"/>
    <w:rsid w:val="0060269B"/>
    <w:rsid w:val="006076C5"/>
    <w:rsid w:val="00611453"/>
    <w:rsid w:val="006143AB"/>
    <w:rsid w:val="006149CB"/>
    <w:rsid w:val="00617CE6"/>
    <w:rsid w:val="006236B2"/>
    <w:rsid w:val="00627AA2"/>
    <w:rsid w:val="00630648"/>
    <w:rsid w:val="00631A6F"/>
    <w:rsid w:val="00631B33"/>
    <w:rsid w:val="00631F09"/>
    <w:rsid w:val="00632CEF"/>
    <w:rsid w:val="00641D48"/>
    <w:rsid w:val="00643199"/>
    <w:rsid w:val="0064337B"/>
    <w:rsid w:val="006437AB"/>
    <w:rsid w:val="00645215"/>
    <w:rsid w:val="006456BF"/>
    <w:rsid w:val="00645D8E"/>
    <w:rsid w:val="00646A70"/>
    <w:rsid w:val="00650775"/>
    <w:rsid w:val="00650BEF"/>
    <w:rsid w:val="0065400C"/>
    <w:rsid w:val="00656C9D"/>
    <w:rsid w:val="00663F31"/>
    <w:rsid w:val="00667461"/>
    <w:rsid w:val="0067082F"/>
    <w:rsid w:val="006723B6"/>
    <w:rsid w:val="00673316"/>
    <w:rsid w:val="00673C8D"/>
    <w:rsid w:val="00675ACD"/>
    <w:rsid w:val="006779EA"/>
    <w:rsid w:val="00680352"/>
    <w:rsid w:val="0068112E"/>
    <w:rsid w:val="00682993"/>
    <w:rsid w:val="00683891"/>
    <w:rsid w:val="00690196"/>
    <w:rsid w:val="00690810"/>
    <w:rsid w:val="0069234A"/>
    <w:rsid w:val="00692719"/>
    <w:rsid w:val="0069529E"/>
    <w:rsid w:val="00695E7B"/>
    <w:rsid w:val="006A01D8"/>
    <w:rsid w:val="006A7349"/>
    <w:rsid w:val="006A741A"/>
    <w:rsid w:val="006A7FD2"/>
    <w:rsid w:val="006B0EF3"/>
    <w:rsid w:val="006B15FC"/>
    <w:rsid w:val="006B3162"/>
    <w:rsid w:val="006B496E"/>
    <w:rsid w:val="006B4AA7"/>
    <w:rsid w:val="006B7005"/>
    <w:rsid w:val="006B7136"/>
    <w:rsid w:val="006C0A6C"/>
    <w:rsid w:val="006C1540"/>
    <w:rsid w:val="006C158B"/>
    <w:rsid w:val="006C4E2B"/>
    <w:rsid w:val="006C4E33"/>
    <w:rsid w:val="006C6279"/>
    <w:rsid w:val="006C64A3"/>
    <w:rsid w:val="006C7864"/>
    <w:rsid w:val="006D219A"/>
    <w:rsid w:val="006D32D4"/>
    <w:rsid w:val="006D420E"/>
    <w:rsid w:val="006D457A"/>
    <w:rsid w:val="006D49C2"/>
    <w:rsid w:val="006D4A2A"/>
    <w:rsid w:val="006D5CCE"/>
    <w:rsid w:val="006E1A08"/>
    <w:rsid w:val="006F0478"/>
    <w:rsid w:val="006F09FB"/>
    <w:rsid w:val="006F328B"/>
    <w:rsid w:val="006F3E0B"/>
    <w:rsid w:val="00700C18"/>
    <w:rsid w:val="007027AA"/>
    <w:rsid w:val="007044B8"/>
    <w:rsid w:val="00705B4F"/>
    <w:rsid w:val="00707806"/>
    <w:rsid w:val="007118CB"/>
    <w:rsid w:val="00712366"/>
    <w:rsid w:val="0071254C"/>
    <w:rsid w:val="007136D4"/>
    <w:rsid w:val="00713B2A"/>
    <w:rsid w:val="00717937"/>
    <w:rsid w:val="00720E5B"/>
    <w:rsid w:val="00721786"/>
    <w:rsid w:val="007243A1"/>
    <w:rsid w:val="00727768"/>
    <w:rsid w:val="00730036"/>
    <w:rsid w:val="0073012B"/>
    <w:rsid w:val="00730B87"/>
    <w:rsid w:val="0073100B"/>
    <w:rsid w:val="0073116F"/>
    <w:rsid w:val="0073214A"/>
    <w:rsid w:val="00735EB8"/>
    <w:rsid w:val="00736444"/>
    <w:rsid w:val="007403C4"/>
    <w:rsid w:val="00742905"/>
    <w:rsid w:val="00746C81"/>
    <w:rsid w:val="00747C08"/>
    <w:rsid w:val="0075067C"/>
    <w:rsid w:val="00751C44"/>
    <w:rsid w:val="007526B5"/>
    <w:rsid w:val="00756223"/>
    <w:rsid w:val="0075725D"/>
    <w:rsid w:val="007604F9"/>
    <w:rsid w:val="00762F19"/>
    <w:rsid w:val="00763A22"/>
    <w:rsid w:val="00765267"/>
    <w:rsid w:val="0076617B"/>
    <w:rsid w:val="00770CA4"/>
    <w:rsid w:val="0077230F"/>
    <w:rsid w:val="0077442B"/>
    <w:rsid w:val="00781598"/>
    <w:rsid w:val="00783BF3"/>
    <w:rsid w:val="0078491B"/>
    <w:rsid w:val="00787840"/>
    <w:rsid w:val="00791198"/>
    <w:rsid w:val="00791F65"/>
    <w:rsid w:val="0079526D"/>
    <w:rsid w:val="007966DA"/>
    <w:rsid w:val="007975BD"/>
    <w:rsid w:val="00797D20"/>
    <w:rsid w:val="007A125A"/>
    <w:rsid w:val="007A2AB2"/>
    <w:rsid w:val="007A2BA2"/>
    <w:rsid w:val="007A320C"/>
    <w:rsid w:val="007A352F"/>
    <w:rsid w:val="007A377B"/>
    <w:rsid w:val="007A3AD9"/>
    <w:rsid w:val="007A4166"/>
    <w:rsid w:val="007A673E"/>
    <w:rsid w:val="007B0EA9"/>
    <w:rsid w:val="007B1994"/>
    <w:rsid w:val="007B1D83"/>
    <w:rsid w:val="007B45FE"/>
    <w:rsid w:val="007B54FF"/>
    <w:rsid w:val="007C06E8"/>
    <w:rsid w:val="007C4BD1"/>
    <w:rsid w:val="007C508C"/>
    <w:rsid w:val="007C6368"/>
    <w:rsid w:val="007C67EB"/>
    <w:rsid w:val="007D3F73"/>
    <w:rsid w:val="007D5C67"/>
    <w:rsid w:val="007E1B6E"/>
    <w:rsid w:val="007E22CD"/>
    <w:rsid w:val="007E3977"/>
    <w:rsid w:val="007E65B1"/>
    <w:rsid w:val="007F015F"/>
    <w:rsid w:val="007F1612"/>
    <w:rsid w:val="007F1A28"/>
    <w:rsid w:val="007F293B"/>
    <w:rsid w:val="007F2EBF"/>
    <w:rsid w:val="007F7FF3"/>
    <w:rsid w:val="00800E9E"/>
    <w:rsid w:val="00803250"/>
    <w:rsid w:val="0080528E"/>
    <w:rsid w:val="00807641"/>
    <w:rsid w:val="00807D81"/>
    <w:rsid w:val="00810301"/>
    <w:rsid w:val="0081052A"/>
    <w:rsid w:val="00810803"/>
    <w:rsid w:val="00810A1A"/>
    <w:rsid w:val="008141F9"/>
    <w:rsid w:val="008159A9"/>
    <w:rsid w:val="008169B5"/>
    <w:rsid w:val="00817436"/>
    <w:rsid w:val="008235A2"/>
    <w:rsid w:val="008243E0"/>
    <w:rsid w:val="0082710E"/>
    <w:rsid w:val="00832C70"/>
    <w:rsid w:val="00833340"/>
    <w:rsid w:val="00833D72"/>
    <w:rsid w:val="008369D1"/>
    <w:rsid w:val="00836F36"/>
    <w:rsid w:val="0083770B"/>
    <w:rsid w:val="00842886"/>
    <w:rsid w:val="00842B9B"/>
    <w:rsid w:val="00842E8C"/>
    <w:rsid w:val="008504D3"/>
    <w:rsid w:val="008513AA"/>
    <w:rsid w:val="00857607"/>
    <w:rsid w:val="008630BC"/>
    <w:rsid w:val="0087291A"/>
    <w:rsid w:val="00873D62"/>
    <w:rsid w:val="008758D8"/>
    <w:rsid w:val="00875CDA"/>
    <w:rsid w:val="0087608A"/>
    <w:rsid w:val="008775EC"/>
    <w:rsid w:val="00877CAC"/>
    <w:rsid w:val="00880240"/>
    <w:rsid w:val="00880CA4"/>
    <w:rsid w:val="00881E26"/>
    <w:rsid w:val="00883827"/>
    <w:rsid w:val="0088486F"/>
    <w:rsid w:val="00893C85"/>
    <w:rsid w:val="008945F1"/>
    <w:rsid w:val="008950C1"/>
    <w:rsid w:val="00895621"/>
    <w:rsid w:val="008A2419"/>
    <w:rsid w:val="008A2C31"/>
    <w:rsid w:val="008A2DA4"/>
    <w:rsid w:val="008B0E75"/>
    <w:rsid w:val="008B4B8F"/>
    <w:rsid w:val="008B6C63"/>
    <w:rsid w:val="008C32D4"/>
    <w:rsid w:val="008C4C5A"/>
    <w:rsid w:val="008C6094"/>
    <w:rsid w:val="008C6830"/>
    <w:rsid w:val="008C7DCB"/>
    <w:rsid w:val="008E0B6A"/>
    <w:rsid w:val="008E22E6"/>
    <w:rsid w:val="008E4D1B"/>
    <w:rsid w:val="008E65F6"/>
    <w:rsid w:val="008E7CAF"/>
    <w:rsid w:val="008E7DCC"/>
    <w:rsid w:val="008F01DB"/>
    <w:rsid w:val="008F07A6"/>
    <w:rsid w:val="008F183B"/>
    <w:rsid w:val="008F25DF"/>
    <w:rsid w:val="008F2678"/>
    <w:rsid w:val="008F2FF8"/>
    <w:rsid w:val="008F3976"/>
    <w:rsid w:val="008F5415"/>
    <w:rsid w:val="008F69B4"/>
    <w:rsid w:val="009007BE"/>
    <w:rsid w:val="0090094A"/>
    <w:rsid w:val="009022D1"/>
    <w:rsid w:val="00902AD4"/>
    <w:rsid w:val="00903528"/>
    <w:rsid w:val="009055B2"/>
    <w:rsid w:val="009077C2"/>
    <w:rsid w:val="00910AF2"/>
    <w:rsid w:val="0091133C"/>
    <w:rsid w:val="00915DF4"/>
    <w:rsid w:val="00916B19"/>
    <w:rsid w:val="00917C28"/>
    <w:rsid w:val="00920144"/>
    <w:rsid w:val="00920248"/>
    <w:rsid w:val="00920B18"/>
    <w:rsid w:val="009212A0"/>
    <w:rsid w:val="00922674"/>
    <w:rsid w:val="00926D33"/>
    <w:rsid w:val="00927709"/>
    <w:rsid w:val="009314B8"/>
    <w:rsid w:val="0093240D"/>
    <w:rsid w:val="009325AD"/>
    <w:rsid w:val="00933786"/>
    <w:rsid w:val="00935CC4"/>
    <w:rsid w:val="009451BA"/>
    <w:rsid w:val="00945D34"/>
    <w:rsid w:val="009463E4"/>
    <w:rsid w:val="00951093"/>
    <w:rsid w:val="009514C8"/>
    <w:rsid w:val="00952B34"/>
    <w:rsid w:val="0095472B"/>
    <w:rsid w:val="009552F2"/>
    <w:rsid w:val="009626C2"/>
    <w:rsid w:val="00965BCE"/>
    <w:rsid w:val="00965FFA"/>
    <w:rsid w:val="00970616"/>
    <w:rsid w:val="009713DC"/>
    <w:rsid w:val="00972281"/>
    <w:rsid w:val="009734F7"/>
    <w:rsid w:val="00973628"/>
    <w:rsid w:val="00974A01"/>
    <w:rsid w:val="0097506B"/>
    <w:rsid w:val="009763D3"/>
    <w:rsid w:val="00976A19"/>
    <w:rsid w:val="00977417"/>
    <w:rsid w:val="0097785E"/>
    <w:rsid w:val="009779F2"/>
    <w:rsid w:val="00977A49"/>
    <w:rsid w:val="00977E97"/>
    <w:rsid w:val="0098132A"/>
    <w:rsid w:val="00981E29"/>
    <w:rsid w:val="0098249C"/>
    <w:rsid w:val="00983179"/>
    <w:rsid w:val="009856C4"/>
    <w:rsid w:val="00986F27"/>
    <w:rsid w:val="0099192A"/>
    <w:rsid w:val="00991C6F"/>
    <w:rsid w:val="00991C98"/>
    <w:rsid w:val="00995FEF"/>
    <w:rsid w:val="00997F1A"/>
    <w:rsid w:val="009A12C5"/>
    <w:rsid w:val="009A334C"/>
    <w:rsid w:val="009A35F9"/>
    <w:rsid w:val="009A3883"/>
    <w:rsid w:val="009A391F"/>
    <w:rsid w:val="009A5748"/>
    <w:rsid w:val="009A7439"/>
    <w:rsid w:val="009A7467"/>
    <w:rsid w:val="009B10CC"/>
    <w:rsid w:val="009B127D"/>
    <w:rsid w:val="009B2FFE"/>
    <w:rsid w:val="009B5D35"/>
    <w:rsid w:val="009C1B77"/>
    <w:rsid w:val="009C5EF8"/>
    <w:rsid w:val="009C60AD"/>
    <w:rsid w:val="009C63B9"/>
    <w:rsid w:val="009C7497"/>
    <w:rsid w:val="009D09D2"/>
    <w:rsid w:val="009D1A3F"/>
    <w:rsid w:val="009D2624"/>
    <w:rsid w:val="009D42DC"/>
    <w:rsid w:val="009D60B2"/>
    <w:rsid w:val="009D65C6"/>
    <w:rsid w:val="009D67AD"/>
    <w:rsid w:val="009E165B"/>
    <w:rsid w:val="009E5CF5"/>
    <w:rsid w:val="009E691E"/>
    <w:rsid w:val="009E6AFC"/>
    <w:rsid w:val="009F0716"/>
    <w:rsid w:val="009F0920"/>
    <w:rsid w:val="009F3256"/>
    <w:rsid w:val="009F5A7B"/>
    <w:rsid w:val="009F5E77"/>
    <w:rsid w:val="00A002DD"/>
    <w:rsid w:val="00A007AF"/>
    <w:rsid w:val="00A020DD"/>
    <w:rsid w:val="00A05118"/>
    <w:rsid w:val="00A06999"/>
    <w:rsid w:val="00A06C25"/>
    <w:rsid w:val="00A06D40"/>
    <w:rsid w:val="00A112B6"/>
    <w:rsid w:val="00A1579E"/>
    <w:rsid w:val="00A159BC"/>
    <w:rsid w:val="00A1773C"/>
    <w:rsid w:val="00A2099E"/>
    <w:rsid w:val="00A20BC9"/>
    <w:rsid w:val="00A20EA8"/>
    <w:rsid w:val="00A24876"/>
    <w:rsid w:val="00A31022"/>
    <w:rsid w:val="00A31046"/>
    <w:rsid w:val="00A3148A"/>
    <w:rsid w:val="00A31B3E"/>
    <w:rsid w:val="00A34012"/>
    <w:rsid w:val="00A35C5C"/>
    <w:rsid w:val="00A37725"/>
    <w:rsid w:val="00A37CB3"/>
    <w:rsid w:val="00A42519"/>
    <w:rsid w:val="00A42E8F"/>
    <w:rsid w:val="00A432A0"/>
    <w:rsid w:val="00A50FE8"/>
    <w:rsid w:val="00A51AB3"/>
    <w:rsid w:val="00A53B38"/>
    <w:rsid w:val="00A54690"/>
    <w:rsid w:val="00A54DFC"/>
    <w:rsid w:val="00A568C2"/>
    <w:rsid w:val="00A56CD1"/>
    <w:rsid w:val="00A57EC2"/>
    <w:rsid w:val="00A62FDF"/>
    <w:rsid w:val="00A63441"/>
    <w:rsid w:val="00A636B9"/>
    <w:rsid w:val="00A65587"/>
    <w:rsid w:val="00A65699"/>
    <w:rsid w:val="00A660D3"/>
    <w:rsid w:val="00A67633"/>
    <w:rsid w:val="00A67EC5"/>
    <w:rsid w:val="00A702F8"/>
    <w:rsid w:val="00A70877"/>
    <w:rsid w:val="00A729FB"/>
    <w:rsid w:val="00A741DE"/>
    <w:rsid w:val="00A742C3"/>
    <w:rsid w:val="00A802E1"/>
    <w:rsid w:val="00A805F2"/>
    <w:rsid w:val="00A821A1"/>
    <w:rsid w:val="00A85355"/>
    <w:rsid w:val="00A859FE"/>
    <w:rsid w:val="00A86636"/>
    <w:rsid w:val="00A86D32"/>
    <w:rsid w:val="00A87D43"/>
    <w:rsid w:val="00A90FC3"/>
    <w:rsid w:val="00A91E76"/>
    <w:rsid w:val="00A932E7"/>
    <w:rsid w:val="00A94433"/>
    <w:rsid w:val="00A969F1"/>
    <w:rsid w:val="00A974D1"/>
    <w:rsid w:val="00AA0949"/>
    <w:rsid w:val="00AA150F"/>
    <w:rsid w:val="00AA2231"/>
    <w:rsid w:val="00AA2834"/>
    <w:rsid w:val="00AA3B2A"/>
    <w:rsid w:val="00AA3D4B"/>
    <w:rsid w:val="00AA530A"/>
    <w:rsid w:val="00AA7197"/>
    <w:rsid w:val="00AA7D5A"/>
    <w:rsid w:val="00AB1CC9"/>
    <w:rsid w:val="00AB37EA"/>
    <w:rsid w:val="00AB5DC8"/>
    <w:rsid w:val="00AB6017"/>
    <w:rsid w:val="00AB6497"/>
    <w:rsid w:val="00AB6D3E"/>
    <w:rsid w:val="00AC0E5E"/>
    <w:rsid w:val="00AC49B7"/>
    <w:rsid w:val="00AC4C5A"/>
    <w:rsid w:val="00AC65F9"/>
    <w:rsid w:val="00AD0217"/>
    <w:rsid w:val="00AD03ED"/>
    <w:rsid w:val="00AD068B"/>
    <w:rsid w:val="00AD2AC3"/>
    <w:rsid w:val="00AD2AEF"/>
    <w:rsid w:val="00AD416E"/>
    <w:rsid w:val="00AD5DB2"/>
    <w:rsid w:val="00AE3C86"/>
    <w:rsid w:val="00AE4DAB"/>
    <w:rsid w:val="00AE627A"/>
    <w:rsid w:val="00AE7536"/>
    <w:rsid w:val="00AF01C1"/>
    <w:rsid w:val="00AF0FF5"/>
    <w:rsid w:val="00AF129F"/>
    <w:rsid w:val="00AF16D8"/>
    <w:rsid w:val="00AF2562"/>
    <w:rsid w:val="00AF2589"/>
    <w:rsid w:val="00AF2A0E"/>
    <w:rsid w:val="00AF42B0"/>
    <w:rsid w:val="00B01211"/>
    <w:rsid w:val="00B01C9D"/>
    <w:rsid w:val="00B02D9E"/>
    <w:rsid w:val="00B041B7"/>
    <w:rsid w:val="00B04744"/>
    <w:rsid w:val="00B0553C"/>
    <w:rsid w:val="00B06268"/>
    <w:rsid w:val="00B12FFF"/>
    <w:rsid w:val="00B14A4B"/>
    <w:rsid w:val="00B15FE2"/>
    <w:rsid w:val="00B16020"/>
    <w:rsid w:val="00B1657B"/>
    <w:rsid w:val="00B16C5C"/>
    <w:rsid w:val="00B16FC0"/>
    <w:rsid w:val="00B21585"/>
    <w:rsid w:val="00B22462"/>
    <w:rsid w:val="00B22CC4"/>
    <w:rsid w:val="00B2356E"/>
    <w:rsid w:val="00B252E9"/>
    <w:rsid w:val="00B26B56"/>
    <w:rsid w:val="00B306AC"/>
    <w:rsid w:val="00B3185C"/>
    <w:rsid w:val="00B31E51"/>
    <w:rsid w:val="00B3284A"/>
    <w:rsid w:val="00B3400F"/>
    <w:rsid w:val="00B340B1"/>
    <w:rsid w:val="00B35675"/>
    <w:rsid w:val="00B42E9B"/>
    <w:rsid w:val="00B449CC"/>
    <w:rsid w:val="00B47086"/>
    <w:rsid w:val="00B524CA"/>
    <w:rsid w:val="00B536B1"/>
    <w:rsid w:val="00B55680"/>
    <w:rsid w:val="00B55FF4"/>
    <w:rsid w:val="00B57623"/>
    <w:rsid w:val="00B61063"/>
    <w:rsid w:val="00B63946"/>
    <w:rsid w:val="00B65381"/>
    <w:rsid w:val="00B713C7"/>
    <w:rsid w:val="00B71A78"/>
    <w:rsid w:val="00B71B7D"/>
    <w:rsid w:val="00B7228E"/>
    <w:rsid w:val="00B752E9"/>
    <w:rsid w:val="00B75741"/>
    <w:rsid w:val="00B766B1"/>
    <w:rsid w:val="00B767A6"/>
    <w:rsid w:val="00B769B7"/>
    <w:rsid w:val="00B76D5B"/>
    <w:rsid w:val="00B7754A"/>
    <w:rsid w:val="00B83707"/>
    <w:rsid w:val="00B83991"/>
    <w:rsid w:val="00B844E1"/>
    <w:rsid w:val="00B84A2F"/>
    <w:rsid w:val="00B8588C"/>
    <w:rsid w:val="00B87B34"/>
    <w:rsid w:val="00B908C2"/>
    <w:rsid w:val="00B949F3"/>
    <w:rsid w:val="00B95663"/>
    <w:rsid w:val="00B95D28"/>
    <w:rsid w:val="00BA0899"/>
    <w:rsid w:val="00BA1275"/>
    <w:rsid w:val="00BA4951"/>
    <w:rsid w:val="00BA6F79"/>
    <w:rsid w:val="00BB019F"/>
    <w:rsid w:val="00BB06DF"/>
    <w:rsid w:val="00BB199A"/>
    <w:rsid w:val="00BB6AB5"/>
    <w:rsid w:val="00BB73B7"/>
    <w:rsid w:val="00BC3EFF"/>
    <w:rsid w:val="00BC52ED"/>
    <w:rsid w:val="00BC5882"/>
    <w:rsid w:val="00BD046E"/>
    <w:rsid w:val="00BD0787"/>
    <w:rsid w:val="00BD1BC5"/>
    <w:rsid w:val="00BD24DE"/>
    <w:rsid w:val="00BD3E59"/>
    <w:rsid w:val="00BD460B"/>
    <w:rsid w:val="00BE0613"/>
    <w:rsid w:val="00BE1D4B"/>
    <w:rsid w:val="00BE3968"/>
    <w:rsid w:val="00BE4430"/>
    <w:rsid w:val="00BE6534"/>
    <w:rsid w:val="00BE679D"/>
    <w:rsid w:val="00BE76CC"/>
    <w:rsid w:val="00BE79DD"/>
    <w:rsid w:val="00BE7B36"/>
    <w:rsid w:val="00BF0360"/>
    <w:rsid w:val="00BF042D"/>
    <w:rsid w:val="00BF0E2D"/>
    <w:rsid w:val="00BF4EF4"/>
    <w:rsid w:val="00BF673D"/>
    <w:rsid w:val="00C014E7"/>
    <w:rsid w:val="00C04F8F"/>
    <w:rsid w:val="00C07DF2"/>
    <w:rsid w:val="00C10BB5"/>
    <w:rsid w:val="00C11492"/>
    <w:rsid w:val="00C12C60"/>
    <w:rsid w:val="00C12DAC"/>
    <w:rsid w:val="00C12DD6"/>
    <w:rsid w:val="00C135A0"/>
    <w:rsid w:val="00C13898"/>
    <w:rsid w:val="00C161AA"/>
    <w:rsid w:val="00C176F1"/>
    <w:rsid w:val="00C30572"/>
    <w:rsid w:val="00C3179D"/>
    <w:rsid w:val="00C3198F"/>
    <w:rsid w:val="00C31F95"/>
    <w:rsid w:val="00C32F2B"/>
    <w:rsid w:val="00C33208"/>
    <w:rsid w:val="00C33C50"/>
    <w:rsid w:val="00C34ECD"/>
    <w:rsid w:val="00C359B3"/>
    <w:rsid w:val="00C3628B"/>
    <w:rsid w:val="00C36C42"/>
    <w:rsid w:val="00C373BA"/>
    <w:rsid w:val="00C44430"/>
    <w:rsid w:val="00C4592A"/>
    <w:rsid w:val="00C45A38"/>
    <w:rsid w:val="00C461E8"/>
    <w:rsid w:val="00C47CEF"/>
    <w:rsid w:val="00C51442"/>
    <w:rsid w:val="00C519A8"/>
    <w:rsid w:val="00C52FA4"/>
    <w:rsid w:val="00C536A2"/>
    <w:rsid w:val="00C60E40"/>
    <w:rsid w:val="00C614AB"/>
    <w:rsid w:val="00C61532"/>
    <w:rsid w:val="00C62770"/>
    <w:rsid w:val="00C64947"/>
    <w:rsid w:val="00C65163"/>
    <w:rsid w:val="00C70A4D"/>
    <w:rsid w:val="00C7364C"/>
    <w:rsid w:val="00C771F9"/>
    <w:rsid w:val="00C807C3"/>
    <w:rsid w:val="00C80CDD"/>
    <w:rsid w:val="00C81436"/>
    <w:rsid w:val="00C82CBA"/>
    <w:rsid w:val="00C83E6A"/>
    <w:rsid w:val="00C849C2"/>
    <w:rsid w:val="00C85411"/>
    <w:rsid w:val="00C855C9"/>
    <w:rsid w:val="00C87DC6"/>
    <w:rsid w:val="00C87F5B"/>
    <w:rsid w:val="00C9002E"/>
    <w:rsid w:val="00C91CB0"/>
    <w:rsid w:val="00C920A0"/>
    <w:rsid w:val="00C92768"/>
    <w:rsid w:val="00C93C12"/>
    <w:rsid w:val="00C97A52"/>
    <w:rsid w:val="00CA057E"/>
    <w:rsid w:val="00CA1A90"/>
    <w:rsid w:val="00CA1D55"/>
    <w:rsid w:val="00CA31D9"/>
    <w:rsid w:val="00CA7291"/>
    <w:rsid w:val="00CB22F0"/>
    <w:rsid w:val="00CB43A2"/>
    <w:rsid w:val="00CB5471"/>
    <w:rsid w:val="00CB65F4"/>
    <w:rsid w:val="00CB7FF3"/>
    <w:rsid w:val="00CC0E91"/>
    <w:rsid w:val="00CC1078"/>
    <w:rsid w:val="00CC1297"/>
    <w:rsid w:val="00CC1D32"/>
    <w:rsid w:val="00CC37F9"/>
    <w:rsid w:val="00CC6468"/>
    <w:rsid w:val="00CC6DC7"/>
    <w:rsid w:val="00CC78CF"/>
    <w:rsid w:val="00CD01B7"/>
    <w:rsid w:val="00CD0460"/>
    <w:rsid w:val="00CD0F97"/>
    <w:rsid w:val="00CD1029"/>
    <w:rsid w:val="00CD12D7"/>
    <w:rsid w:val="00CD254A"/>
    <w:rsid w:val="00CD3DBF"/>
    <w:rsid w:val="00CD4FA7"/>
    <w:rsid w:val="00CD5CE9"/>
    <w:rsid w:val="00CD5E42"/>
    <w:rsid w:val="00CD69D9"/>
    <w:rsid w:val="00CE0999"/>
    <w:rsid w:val="00CE0D94"/>
    <w:rsid w:val="00CE0EE9"/>
    <w:rsid w:val="00CE2730"/>
    <w:rsid w:val="00CE318C"/>
    <w:rsid w:val="00CE3A1B"/>
    <w:rsid w:val="00CE46C9"/>
    <w:rsid w:val="00CE5A58"/>
    <w:rsid w:val="00CE6548"/>
    <w:rsid w:val="00CF03CA"/>
    <w:rsid w:val="00CF078D"/>
    <w:rsid w:val="00CF18FC"/>
    <w:rsid w:val="00CF1A2D"/>
    <w:rsid w:val="00CF1EFA"/>
    <w:rsid w:val="00CF2E2A"/>
    <w:rsid w:val="00CF3B1A"/>
    <w:rsid w:val="00D006C5"/>
    <w:rsid w:val="00D00E04"/>
    <w:rsid w:val="00D01530"/>
    <w:rsid w:val="00D0384C"/>
    <w:rsid w:val="00D075D0"/>
    <w:rsid w:val="00D100E8"/>
    <w:rsid w:val="00D1040B"/>
    <w:rsid w:val="00D146DF"/>
    <w:rsid w:val="00D150A3"/>
    <w:rsid w:val="00D214AB"/>
    <w:rsid w:val="00D218F2"/>
    <w:rsid w:val="00D21BE0"/>
    <w:rsid w:val="00D2580E"/>
    <w:rsid w:val="00D25AF8"/>
    <w:rsid w:val="00D320F2"/>
    <w:rsid w:val="00D327D0"/>
    <w:rsid w:val="00D328C2"/>
    <w:rsid w:val="00D33205"/>
    <w:rsid w:val="00D33A23"/>
    <w:rsid w:val="00D36C75"/>
    <w:rsid w:val="00D37B79"/>
    <w:rsid w:val="00D4617D"/>
    <w:rsid w:val="00D467AA"/>
    <w:rsid w:val="00D47B5E"/>
    <w:rsid w:val="00D51E94"/>
    <w:rsid w:val="00D52ADD"/>
    <w:rsid w:val="00D53A14"/>
    <w:rsid w:val="00D53A40"/>
    <w:rsid w:val="00D545C5"/>
    <w:rsid w:val="00D54652"/>
    <w:rsid w:val="00D55DCF"/>
    <w:rsid w:val="00D562EB"/>
    <w:rsid w:val="00D571F9"/>
    <w:rsid w:val="00D576D6"/>
    <w:rsid w:val="00D60E35"/>
    <w:rsid w:val="00D61E2C"/>
    <w:rsid w:val="00D62D89"/>
    <w:rsid w:val="00D63015"/>
    <w:rsid w:val="00D71EA1"/>
    <w:rsid w:val="00D71F59"/>
    <w:rsid w:val="00D74885"/>
    <w:rsid w:val="00D74FD1"/>
    <w:rsid w:val="00D844F9"/>
    <w:rsid w:val="00D87CCE"/>
    <w:rsid w:val="00D91FCB"/>
    <w:rsid w:val="00D94BBE"/>
    <w:rsid w:val="00DA0600"/>
    <w:rsid w:val="00DA0F38"/>
    <w:rsid w:val="00DA26D7"/>
    <w:rsid w:val="00DA3AD1"/>
    <w:rsid w:val="00DA4CF4"/>
    <w:rsid w:val="00DA5349"/>
    <w:rsid w:val="00DA67B6"/>
    <w:rsid w:val="00DB166C"/>
    <w:rsid w:val="00DB1879"/>
    <w:rsid w:val="00DB2DF5"/>
    <w:rsid w:val="00DB2F65"/>
    <w:rsid w:val="00DB2FB3"/>
    <w:rsid w:val="00DB5535"/>
    <w:rsid w:val="00DB6B9A"/>
    <w:rsid w:val="00DB7B72"/>
    <w:rsid w:val="00DC0D94"/>
    <w:rsid w:val="00DC24A7"/>
    <w:rsid w:val="00DC3540"/>
    <w:rsid w:val="00DC42B3"/>
    <w:rsid w:val="00DC447D"/>
    <w:rsid w:val="00DC5512"/>
    <w:rsid w:val="00DC5AFD"/>
    <w:rsid w:val="00DC5CA3"/>
    <w:rsid w:val="00DC64A1"/>
    <w:rsid w:val="00DC708A"/>
    <w:rsid w:val="00DC785A"/>
    <w:rsid w:val="00DD29F4"/>
    <w:rsid w:val="00DD4F76"/>
    <w:rsid w:val="00DD5889"/>
    <w:rsid w:val="00DE02DA"/>
    <w:rsid w:val="00DE2978"/>
    <w:rsid w:val="00DE41AB"/>
    <w:rsid w:val="00DE5F2B"/>
    <w:rsid w:val="00DE6988"/>
    <w:rsid w:val="00DE7056"/>
    <w:rsid w:val="00DE7765"/>
    <w:rsid w:val="00DF02E1"/>
    <w:rsid w:val="00DF2407"/>
    <w:rsid w:val="00DF4255"/>
    <w:rsid w:val="00DF45F4"/>
    <w:rsid w:val="00DF4874"/>
    <w:rsid w:val="00DF65C2"/>
    <w:rsid w:val="00DF6E0D"/>
    <w:rsid w:val="00E01804"/>
    <w:rsid w:val="00E02887"/>
    <w:rsid w:val="00E03A45"/>
    <w:rsid w:val="00E06FB5"/>
    <w:rsid w:val="00E07FB7"/>
    <w:rsid w:val="00E10691"/>
    <w:rsid w:val="00E12DB7"/>
    <w:rsid w:val="00E1749F"/>
    <w:rsid w:val="00E262BA"/>
    <w:rsid w:val="00E3286F"/>
    <w:rsid w:val="00E33042"/>
    <w:rsid w:val="00E3546B"/>
    <w:rsid w:val="00E363AB"/>
    <w:rsid w:val="00E37B39"/>
    <w:rsid w:val="00E400FB"/>
    <w:rsid w:val="00E41853"/>
    <w:rsid w:val="00E41CA4"/>
    <w:rsid w:val="00E41E13"/>
    <w:rsid w:val="00E421CB"/>
    <w:rsid w:val="00E465DC"/>
    <w:rsid w:val="00E549F7"/>
    <w:rsid w:val="00E556AD"/>
    <w:rsid w:val="00E6061E"/>
    <w:rsid w:val="00E60BBD"/>
    <w:rsid w:val="00E60D39"/>
    <w:rsid w:val="00E60DFC"/>
    <w:rsid w:val="00E628B9"/>
    <w:rsid w:val="00E713C3"/>
    <w:rsid w:val="00E75FF5"/>
    <w:rsid w:val="00E76854"/>
    <w:rsid w:val="00E777B0"/>
    <w:rsid w:val="00E82938"/>
    <w:rsid w:val="00E834F6"/>
    <w:rsid w:val="00E83C15"/>
    <w:rsid w:val="00E8480D"/>
    <w:rsid w:val="00E85392"/>
    <w:rsid w:val="00E9385A"/>
    <w:rsid w:val="00E944E2"/>
    <w:rsid w:val="00E97B3F"/>
    <w:rsid w:val="00EA0D58"/>
    <w:rsid w:val="00EA2B60"/>
    <w:rsid w:val="00EA32B1"/>
    <w:rsid w:val="00EA331B"/>
    <w:rsid w:val="00EA400E"/>
    <w:rsid w:val="00EA4D02"/>
    <w:rsid w:val="00EA68E4"/>
    <w:rsid w:val="00EA7A96"/>
    <w:rsid w:val="00EB07E9"/>
    <w:rsid w:val="00EB255F"/>
    <w:rsid w:val="00EB3708"/>
    <w:rsid w:val="00EB391F"/>
    <w:rsid w:val="00EB5219"/>
    <w:rsid w:val="00EB5DEC"/>
    <w:rsid w:val="00EB6C1A"/>
    <w:rsid w:val="00EC0DC2"/>
    <w:rsid w:val="00EC4DE9"/>
    <w:rsid w:val="00ED0C19"/>
    <w:rsid w:val="00ED2AE1"/>
    <w:rsid w:val="00ED2CCF"/>
    <w:rsid w:val="00ED3BE7"/>
    <w:rsid w:val="00ED6036"/>
    <w:rsid w:val="00ED632F"/>
    <w:rsid w:val="00ED7554"/>
    <w:rsid w:val="00ED75CD"/>
    <w:rsid w:val="00EE1D66"/>
    <w:rsid w:val="00EE23CC"/>
    <w:rsid w:val="00EE2D4B"/>
    <w:rsid w:val="00EE3513"/>
    <w:rsid w:val="00EE3A2C"/>
    <w:rsid w:val="00EF0B32"/>
    <w:rsid w:val="00EF16C7"/>
    <w:rsid w:val="00EF215E"/>
    <w:rsid w:val="00EF3404"/>
    <w:rsid w:val="00EF646B"/>
    <w:rsid w:val="00EF6AF9"/>
    <w:rsid w:val="00F00B7D"/>
    <w:rsid w:val="00F00BEF"/>
    <w:rsid w:val="00F02741"/>
    <w:rsid w:val="00F03CBC"/>
    <w:rsid w:val="00F04534"/>
    <w:rsid w:val="00F049B6"/>
    <w:rsid w:val="00F04BCC"/>
    <w:rsid w:val="00F0500A"/>
    <w:rsid w:val="00F051BE"/>
    <w:rsid w:val="00F057A6"/>
    <w:rsid w:val="00F136F8"/>
    <w:rsid w:val="00F14289"/>
    <w:rsid w:val="00F16591"/>
    <w:rsid w:val="00F167A9"/>
    <w:rsid w:val="00F17633"/>
    <w:rsid w:val="00F176B5"/>
    <w:rsid w:val="00F23FFA"/>
    <w:rsid w:val="00F26F7D"/>
    <w:rsid w:val="00F30346"/>
    <w:rsid w:val="00F314B8"/>
    <w:rsid w:val="00F33EE6"/>
    <w:rsid w:val="00F33F79"/>
    <w:rsid w:val="00F41FC2"/>
    <w:rsid w:val="00F422C8"/>
    <w:rsid w:val="00F42B23"/>
    <w:rsid w:val="00F42F34"/>
    <w:rsid w:val="00F43952"/>
    <w:rsid w:val="00F46DBA"/>
    <w:rsid w:val="00F47E9E"/>
    <w:rsid w:val="00F50BBB"/>
    <w:rsid w:val="00F53B4F"/>
    <w:rsid w:val="00F54156"/>
    <w:rsid w:val="00F541B1"/>
    <w:rsid w:val="00F549B1"/>
    <w:rsid w:val="00F54C51"/>
    <w:rsid w:val="00F5566C"/>
    <w:rsid w:val="00F57D2F"/>
    <w:rsid w:val="00F60572"/>
    <w:rsid w:val="00F6069E"/>
    <w:rsid w:val="00F6169A"/>
    <w:rsid w:val="00F63BD1"/>
    <w:rsid w:val="00F63DC3"/>
    <w:rsid w:val="00F644A9"/>
    <w:rsid w:val="00F65343"/>
    <w:rsid w:val="00F65D9B"/>
    <w:rsid w:val="00F7101E"/>
    <w:rsid w:val="00F7171C"/>
    <w:rsid w:val="00F72F14"/>
    <w:rsid w:val="00F8160E"/>
    <w:rsid w:val="00F83A10"/>
    <w:rsid w:val="00F83C68"/>
    <w:rsid w:val="00F84DB8"/>
    <w:rsid w:val="00F8675C"/>
    <w:rsid w:val="00F87CCC"/>
    <w:rsid w:val="00F90794"/>
    <w:rsid w:val="00F90FBD"/>
    <w:rsid w:val="00F91A71"/>
    <w:rsid w:val="00F92958"/>
    <w:rsid w:val="00F93818"/>
    <w:rsid w:val="00F94EF8"/>
    <w:rsid w:val="00F9680F"/>
    <w:rsid w:val="00F97A54"/>
    <w:rsid w:val="00FA1C31"/>
    <w:rsid w:val="00FA3E4C"/>
    <w:rsid w:val="00FA5D82"/>
    <w:rsid w:val="00FA6716"/>
    <w:rsid w:val="00FA7768"/>
    <w:rsid w:val="00FB3206"/>
    <w:rsid w:val="00FB5CB3"/>
    <w:rsid w:val="00FB639F"/>
    <w:rsid w:val="00FB7ACE"/>
    <w:rsid w:val="00FB7E32"/>
    <w:rsid w:val="00FB7E40"/>
    <w:rsid w:val="00FC115F"/>
    <w:rsid w:val="00FC4EDB"/>
    <w:rsid w:val="00FC5549"/>
    <w:rsid w:val="00FC5DAF"/>
    <w:rsid w:val="00FC675A"/>
    <w:rsid w:val="00FC6FD7"/>
    <w:rsid w:val="00FC7F84"/>
    <w:rsid w:val="00FC7FC3"/>
    <w:rsid w:val="00FD1EE5"/>
    <w:rsid w:val="00FD1F15"/>
    <w:rsid w:val="00FD2987"/>
    <w:rsid w:val="00FD3BFD"/>
    <w:rsid w:val="00FD3EAA"/>
    <w:rsid w:val="00FD55DA"/>
    <w:rsid w:val="00FD7ED5"/>
    <w:rsid w:val="00FD7EEA"/>
    <w:rsid w:val="00FE0BF8"/>
    <w:rsid w:val="00FE1522"/>
    <w:rsid w:val="00FE1BDC"/>
    <w:rsid w:val="00FE2CCB"/>
    <w:rsid w:val="00FE5E9E"/>
    <w:rsid w:val="00FE6060"/>
    <w:rsid w:val="00FE61F4"/>
    <w:rsid w:val="00FF01E4"/>
    <w:rsid w:val="00FF1C93"/>
    <w:rsid w:val="00FF66B8"/>
    <w:rsid w:val="00FF6E3F"/>
    <w:rsid w:val="00FF7470"/>
    <w:rsid w:val="2D1F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图</a:t>
            </a:r>
            <a:r>
              <a:rPr lang="en-US" altLang="zh-CN" sz="1600"/>
              <a:t>1</a:t>
            </a:r>
            <a:r>
              <a:rPr lang="zh-CN" altLang="en-US" sz="1600"/>
              <a:t>：作出不起诉决定的类型比例</a:t>
            </a:r>
            <a:endParaRPr lang="zh-CN" altLang="en-US" sz="1600"/>
          </a:p>
        </c:rich>
      </c:tx>
      <c:layout/>
      <c:overlay val="0"/>
    </c:title>
    <c:autoTitleDeleted val="0"/>
    <c:plotArea>
      <c:layout>
        <c:manualLayout>
          <c:layoutTarget val="inner"/>
          <c:xMode val="edge"/>
          <c:yMode val="edge"/>
          <c:x val="0.0522851618143575"/>
          <c:y val="0.177800266769932"/>
          <c:w val="0.550597006782928"/>
          <c:h val="0.781667226022977"/>
        </c:manualLayout>
      </c:layout>
      <c:pieChart>
        <c:varyColors val="1"/>
        <c:ser>
          <c:idx val="0"/>
          <c:order val="0"/>
          <c:tx>
            <c:strRef>
              <c:f>Sheet1!$B$1</c:f>
              <c:strCache>
                <c:ptCount val="1"/>
                <c:pt idx="0">
                  <c:v>不起诉类型比例</c:v>
                </c:pt>
              </c:strCache>
            </c:strRef>
          </c:tx>
          <c:explosion val="0"/>
          <c:dPt>
            <c:idx val="0"/>
            <c:bubble3D val="0"/>
          </c:dPt>
          <c:dPt>
            <c:idx val="1"/>
            <c:bubble3D val="0"/>
          </c:dPt>
          <c:dPt>
            <c:idx val="2"/>
            <c:bubble3D val="0"/>
          </c:dPt>
          <c:dLbls>
            <c:dLbl>
              <c:idx val="0"/>
              <c:layout>
                <c:manualLayout>
                  <c:x val="-0.155062656213526"/>
                  <c:y val="0.2704082202490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绝对不起诉</a:t>
                    </a:r>
                    <a:r>
                      <a:rPr lang="en-US" altLang="zh-CN"/>
                      <a:t>25</a:t>
                    </a:r>
                    <a:r>
                      <a:rPr lang="zh-CN" altLang="en-US"/>
                      <a:t>人
占比</a:t>
                    </a:r>
                    <a:r>
                      <a:rPr lang="en-US" altLang="zh-CN"/>
                      <a:t>21.4%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779715442294225"/>
                  <c:y val="-0.13080434094674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相对不起诉</a:t>
                    </a:r>
                    <a:r>
                      <a:rPr lang="en-US" altLang="zh-CN"/>
                      <a:t>61</a:t>
                    </a:r>
                    <a:r>
                      <a:rPr lang="zh-CN" altLang="en-US"/>
                      <a:t>人
占比</a:t>
                    </a:r>
                    <a:r>
                      <a:rPr lang="en-US" altLang="zh-CN"/>
                      <a:t>52.1%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存疑不起诉</a:t>
                    </a:r>
                    <a:r>
                      <a:rPr lang="en-US" altLang="zh-CN"/>
                      <a:t>31</a:t>
                    </a:r>
                    <a:r>
                      <a:rPr lang="zh-CN" altLang="en-US"/>
                      <a:t>人
占比</a:t>
                    </a:r>
                    <a:r>
                      <a:rPr lang="en-US" altLang="zh-CN"/>
                      <a:t>26.5%</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绝对不起诉</c:v>
                </c:pt>
                <c:pt idx="1">
                  <c:v>相对不起诉</c:v>
                </c:pt>
                <c:pt idx="2">
                  <c:v>存疑不起诉</c:v>
                </c:pt>
              </c:strCache>
            </c:strRef>
          </c:cat>
          <c:val>
            <c:numRef>
              <c:f>Sheet1!$B$2:$B$4</c:f>
              <c:numCache>
                <c:formatCode>General</c:formatCode>
                <c:ptCount val="3"/>
                <c:pt idx="0">
                  <c:v>25</c:v>
                </c:pt>
                <c:pt idx="1">
                  <c:v>61</c:v>
                </c:pt>
                <c:pt idx="2">
                  <c:v>31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1997379752043"/>
          <c:y val="0.428174347059078"/>
          <c:w val="0.268582131621538"/>
          <c:h val="0.41165801815756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15224-253A-4E41-99E5-E8534BA18A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948</Words>
  <Characters>5409</Characters>
  <Lines>45</Lines>
  <Paragraphs>12</Paragraphs>
  <TotalTime>414</TotalTime>
  <ScaleCrop>false</ScaleCrop>
  <LinksUpToDate>false</LinksUpToDate>
  <CharactersWithSpaces>6345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2018-08-27T09:31:00Z</dcterms:created>
  <dc:creator>郑丽君</dc:creator>
  <cp:lastModifiedBy>Kevin_然</cp:lastModifiedBy>
  <dcterms:modified xsi:type="dcterms:W3CDTF">2018-12-26T08:04:35Z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